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2662FB">
      <w:pPr>
        <w:rPr>
          <w:color w:val="auto"/>
        </w:rPr>
      </w:pPr>
      <w:bookmarkStart w:id="86" w:name="_GoBack"/>
      <w:bookmarkEnd w:id="86"/>
    </w:p>
    <w:p w14:paraId="35A38128">
      <w:pPr>
        <w:rPr>
          <w:color w:val="auto"/>
        </w:rPr>
      </w:pPr>
    </w:p>
    <w:p w14:paraId="37FCB793">
      <w:pPr>
        <w:rPr>
          <w:color w:val="auto"/>
        </w:rPr>
      </w:pPr>
    </w:p>
    <w:p w14:paraId="5089E43A">
      <w:pPr>
        <w:rPr>
          <w:color w:val="auto"/>
        </w:rPr>
      </w:pPr>
    </w:p>
    <w:p w14:paraId="7CCC42C6">
      <w:pPr>
        <w:rPr>
          <w:color w:val="auto"/>
        </w:rPr>
      </w:pPr>
    </w:p>
    <w:p w14:paraId="6B56A36D">
      <w:pPr>
        <w:pStyle w:val="17"/>
        <w:spacing w:before="0"/>
        <w:outlineLvl w:val="9"/>
        <w:rPr>
          <w:rFonts w:hint="eastAsia" w:eastAsia="黑体"/>
          <w:b w:val="0"/>
          <w:color w:val="auto"/>
          <w:sz w:val="44"/>
          <w:szCs w:val="44"/>
        </w:rPr>
      </w:pPr>
      <w:r>
        <w:rPr>
          <w:rFonts w:hint="eastAsia" w:eastAsia="黑体"/>
          <w:b w:val="0"/>
          <w:color w:val="auto"/>
          <w:sz w:val="44"/>
          <w:szCs w:val="44"/>
        </w:rPr>
        <w:t>《无异味园区创建技术指南》</w:t>
      </w:r>
    </w:p>
    <w:p w14:paraId="10DD93D1">
      <w:pPr>
        <w:pStyle w:val="17"/>
        <w:spacing w:before="0"/>
        <w:outlineLvl w:val="9"/>
        <w:rPr>
          <w:rFonts w:eastAsia="黑体"/>
          <w:b w:val="0"/>
          <w:color w:val="auto"/>
          <w:sz w:val="44"/>
          <w:szCs w:val="44"/>
        </w:rPr>
      </w:pPr>
      <w:r>
        <w:rPr>
          <w:rFonts w:hint="eastAsia" w:eastAsia="黑体"/>
          <w:b w:val="0"/>
          <w:color w:val="auto"/>
          <w:sz w:val="44"/>
          <w:szCs w:val="44"/>
        </w:rPr>
        <w:t>（</w:t>
      </w:r>
      <w:r>
        <w:rPr>
          <w:rFonts w:hint="eastAsia" w:eastAsia="黑体"/>
          <w:b w:val="0"/>
          <w:color w:val="auto"/>
          <w:sz w:val="44"/>
          <w:szCs w:val="44"/>
          <w:lang w:val="en-US" w:eastAsia="zh-CN"/>
        </w:rPr>
        <w:t>征求意见</w:t>
      </w:r>
      <w:r>
        <w:rPr>
          <w:rFonts w:hint="eastAsia" w:eastAsia="黑体"/>
          <w:b w:val="0"/>
          <w:color w:val="auto"/>
          <w:sz w:val="44"/>
          <w:szCs w:val="44"/>
        </w:rPr>
        <w:t>稿）</w:t>
      </w:r>
    </w:p>
    <w:p w14:paraId="2D9AA05D">
      <w:pPr>
        <w:pStyle w:val="17"/>
        <w:spacing w:before="400"/>
        <w:outlineLvl w:val="9"/>
        <w:rPr>
          <w:rFonts w:eastAsia="黑体"/>
          <w:b w:val="0"/>
          <w:color w:val="auto"/>
          <w:sz w:val="44"/>
          <w:szCs w:val="44"/>
        </w:rPr>
      </w:pPr>
      <w:bookmarkStart w:id="0" w:name="_Toc24135"/>
      <w:bookmarkStart w:id="1" w:name="_Toc5560"/>
      <w:bookmarkStart w:id="2" w:name="_Toc8054"/>
      <w:bookmarkStart w:id="3" w:name="_Toc14179"/>
      <w:bookmarkStart w:id="4" w:name="_Toc29146"/>
      <w:bookmarkStart w:id="5" w:name="_Toc515264453"/>
      <w:bookmarkStart w:id="6" w:name="_Toc4392"/>
      <w:bookmarkStart w:id="7" w:name="_Toc9204"/>
      <w:bookmarkStart w:id="8" w:name="_Toc26387"/>
      <w:bookmarkStart w:id="9" w:name="_Toc2707"/>
      <w:r>
        <w:rPr>
          <w:rFonts w:hint="eastAsia" w:eastAsia="黑体"/>
          <w:b w:val="0"/>
          <w:color w:val="auto"/>
          <w:sz w:val="44"/>
          <w:szCs w:val="44"/>
        </w:rPr>
        <w:t>编制说明</w:t>
      </w:r>
      <w:bookmarkEnd w:id="0"/>
      <w:bookmarkEnd w:id="1"/>
      <w:bookmarkEnd w:id="2"/>
      <w:bookmarkEnd w:id="3"/>
      <w:bookmarkEnd w:id="4"/>
      <w:bookmarkEnd w:id="5"/>
      <w:bookmarkEnd w:id="6"/>
      <w:bookmarkEnd w:id="7"/>
      <w:bookmarkEnd w:id="8"/>
      <w:bookmarkEnd w:id="9"/>
    </w:p>
    <w:p w14:paraId="20DD0863">
      <w:pPr>
        <w:rPr>
          <w:color w:val="auto"/>
        </w:rPr>
      </w:pPr>
    </w:p>
    <w:p w14:paraId="513058F0">
      <w:pPr>
        <w:rPr>
          <w:color w:val="auto"/>
        </w:rPr>
      </w:pPr>
    </w:p>
    <w:p w14:paraId="7B055B23">
      <w:pPr>
        <w:rPr>
          <w:color w:val="auto"/>
        </w:rPr>
      </w:pPr>
    </w:p>
    <w:p w14:paraId="1E617DBE">
      <w:pPr>
        <w:rPr>
          <w:color w:val="auto"/>
        </w:rPr>
      </w:pPr>
    </w:p>
    <w:p w14:paraId="50FC7ED5">
      <w:pPr>
        <w:rPr>
          <w:color w:val="auto"/>
        </w:rPr>
      </w:pPr>
    </w:p>
    <w:p w14:paraId="3E280873">
      <w:pPr>
        <w:rPr>
          <w:color w:val="auto"/>
        </w:rPr>
      </w:pPr>
    </w:p>
    <w:p w14:paraId="6FE39A7C">
      <w:pPr>
        <w:rPr>
          <w:color w:val="auto"/>
        </w:rPr>
      </w:pPr>
    </w:p>
    <w:p w14:paraId="1A50267A">
      <w:pPr>
        <w:rPr>
          <w:color w:val="auto"/>
        </w:rPr>
      </w:pPr>
    </w:p>
    <w:p w14:paraId="0D54B465">
      <w:pPr>
        <w:rPr>
          <w:color w:val="auto"/>
        </w:rPr>
      </w:pPr>
    </w:p>
    <w:p w14:paraId="1DF4B019">
      <w:pPr>
        <w:rPr>
          <w:color w:val="auto"/>
        </w:rPr>
      </w:pPr>
    </w:p>
    <w:p w14:paraId="087E901B">
      <w:pPr>
        <w:rPr>
          <w:color w:val="auto"/>
        </w:rPr>
      </w:pPr>
    </w:p>
    <w:p w14:paraId="3CCD0F76">
      <w:pPr>
        <w:rPr>
          <w:color w:val="auto"/>
        </w:rPr>
      </w:pPr>
    </w:p>
    <w:p w14:paraId="35ABDA61">
      <w:pPr>
        <w:rPr>
          <w:color w:val="auto"/>
        </w:rPr>
      </w:pPr>
    </w:p>
    <w:p w14:paraId="715843E2">
      <w:pPr>
        <w:rPr>
          <w:color w:val="auto"/>
        </w:rPr>
      </w:pPr>
    </w:p>
    <w:p w14:paraId="259EB616">
      <w:pPr>
        <w:rPr>
          <w:color w:val="auto"/>
        </w:rPr>
      </w:pPr>
    </w:p>
    <w:p w14:paraId="3CCBFEAC">
      <w:pPr>
        <w:rPr>
          <w:color w:val="auto"/>
        </w:rPr>
      </w:pPr>
    </w:p>
    <w:p w14:paraId="081BA12C">
      <w:pPr>
        <w:pStyle w:val="17"/>
        <w:outlineLvl w:val="9"/>
        <w:rPr>
          <w:rFonts w:ascii="宋体" w:hAnsi="宋体"/>
          <w:b w:val="0"/>
          <w:color w:val="auto"/>
          <w:sz w:val="30"/>
          <w:szCs w:val="30"/>
        </w:rPr>
      </w:pPr>
    </w:p>
    <w:p w14:paraId="4E5A6681">
      <w:pPr>
        <w:pStyle w:val="17"/>
        <w:outlineLvl w:val="9"/>
        <w:rPr>
          <w:rFonts w:ascii="宋体" w:hAnsi="宋体"/>
          <w:b w:val="0"/>
          <w:color w:val="auto"/>
          <w:sz w:val="30"/>
          <w:szCs w:val="30"/>
        </w:rPr>
      </w:pPr>
    </w:p>
    <w:p w14:paraId="15957020">
      <w:pPr>
        <w:pStyle w:val="3"/>
        <w:ind w:firstLine="0" w:firstLineChars="0"/>
        <w:jc w:val="center"/>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eastAsia="zh-CN"/>
        </w:rPr>
        <w:t>标准</w:t>
      </w:r>
      <w:r>
        <w:rPr>
          <w:rFonts w:hint="eastAsia" w:ascii="黑体" w:hAnsi="黑体" w:eastAsia="黑体" w:cs="黑体"/>
          <w:color w:val="auto"/>
          <w:kern w:val="0"/>
          <w:sz w:val="32"/>
          <w:szCs w:val="32"/>
        </w:rPr>
        <w:t>编制组</w:t>
      </w:r>
    </w:p>
    <w:p w14:paraId="626D8CD2">
      <w:pPr>
        <w:pStyle w:val="3"/>
        <w:ind w:firstLine="0" w:firstLineChars="0"/>
        <w:jc w:val="center"/>
        <w:rPr>
          <w:rFonts w:hint="eastAsia" w:ascii="黑体" w:hAnsi="黑体" w:eastAsia="黑体" w:cs="黑体"/>
          <w:color w:val="auto"/>
          <w:kern w:val="0"/>
          <w:sz w:val="32"/>
          <w:szCs w:val="32"/>
        </w:rPr>
        <w:sectPr>
          <w:headerReference r:id="rId3" w:type="default"/>
          <w:footerReference r:id="rId4" w:type="even"/>
          <w:pgSz w:w="11906" w:h="16838"/>
          <w:pgMar w:top="1440" w:right="1797" w:bottom="1440" w:left="1797" w:header="851" w:footer="992" w:gutter="0"/>
          <w:cols w:space="425" w:num="1"/>
          <w:docGrid w:type="lines" w:linePitch="312" w:charSpace="0"/>
        </w:sectPr>
      </w:pPr>
      <w:r>
        <w:rPr>
          <w:rFonts w:hint="eastAsia" w:ascii="黑体" w:hAnsi="黑体" w:eastAsia="黑体" w:cs="黑体"/>
          <w:color w:val="auto"/>
          <w:kern w:val="0"/>
          <w:sz w:val="32"/>
          <w:szCs w:val="32"/>
        </w:rPr>
        <w:t>二○二</w:t>
      </w:r>
      <w:r>
        <w:rPr>
          <w:rFonts w:hint="eastAsia" w:ascii="黑体" w:hAnsi="黑体" w:eastAsia="黑体" w:cs="黑体"/>
          <w:color w:val="auto"/>
          <w:kern w:val="0"/>
          <w:sz w:val="32"/>
          <w:szCs w:val="32"/>
          <w:lang w:val="en-US" w:eastAsia="zh-CN"/>
        </w:rPr>
        <w:t>六</w:t>
      </w:r>
      <w:r>
        <w:rPr>
          <w:rFonts w:hint="eastAsia" w:ascii="黑体" w:hAnsi="黑体" w:eastAsia="黑体" w:cs="黑体"/>
          <w:color w:val="auto"/>
          <w:kern w:val="0"/>
          <w:sz w:val="32"/>
          <w:szCs w:val="32"/>
        </w:rPr>
        <w:t>年</w:t>
      </w:r>
      <w:r>
        <w:rPr>
          <w:rFonts w:hint="eastAsia" w:ascii="黑体" w:hAnsi="黑体" w:eastAsia="黑体" w:cs="黑体"/>
          <w:color w:val="auto"/>
          <w:kern w:val="0"/>
          <w:sz w:val="32"/>
          <w:szCs w:val="32"/>
          <w:lang w:val="en-US" w:eastAsia="zh-CN"/>
        </w:rPr>
        <w:t>五</w:t>
      </w:r>
      <w:r>
        <w:rPr>
          <w:rFonts w:hint="eastAsia" w:ascii="黑体" w:hAnsi="黑体" w:eastAsia="黑体" w:cs="黑体"/>
          <w:color w:val="auto"/>
          <w:kern w:val="0"/>
          <w:sz w:val="32"/>
          <w:szCs w:val="32"/>
        </w:rPr>
        <w:t>月</w:t>
      </w:r>
    </w:p>
    <w:p w14:paraId="75FE7743">
      <w:pPr>
        <w:spacing w:line="360" w:lineRule="auto"/>
        <w:jc w:val="center"/>
        <w:rPr>
          <w:rFonts w:ascii="黑体" w:eastAsia="黑体"/>
          <w:color w:val="auto"/>
          <w:sz w:val="32"/>
          <w:szCs w:val="32"/>
        </w:rPr>
      </w:pPr>
      <w:r>
        <w:rPr>
          <w:rFonts w:hint="eastAsia" w:ascii="黑体" w:eastAsia="黑体"/>
          <w:color w:val="auto"/>
          <w:sz w:val="32"/>
          <w:szCs w:val="32"/>
        </w:rPr>
        <w:t>目  录</w:t>
      </w:r>
    </w:p>
    <w:p w14:paraId="6D674282">
      <w:pPr>
        <w:pStyle w:val="14"/>
        <w:tabs>
          <w:tab w:val="right" w:leader="dot" w:pos="8312"/>
        </w:tabs>
        <w:spacing w:line="360" w:lineRule="auto"/>
        <w:rPr>
          <w:rFonts w:hint="eastAsia" w:ascii="黑体" w:hAnsi="黑体" w:eastAsia="黑体" w:cs="黑体"/>
          <w:color w:val="auto"/>
          <w:sz w:val="30"/>
          <w:szCs w:val="30"/>
          <w:highlight w:val="none"/>
        </w:rPr>
      </w:pPr>
      <w:r>
        <w:rPr>
          <w:rFonts w:hint="default" w:ascii="Times New Roman" w:hAnsi="Times New Roman" w:eastAsia="宋体" w:cs="Times New Roman"/>
          <w:color w:val="auto"/>
          <w:sz w:val="30"/>
          <w:szCs w:val="30"/>
          <w:highlight w:val="none"/>
        </w:rPr>
        <w:fldChar w:fldCharType="begin"/>
      </w:r>
      <w:r>
        <w:rPr>
          <w:rFonts w:hint="default" w:ascii="Times New Roman" w:hAnsi="Times New Roman" w:eastAsia="宋体" w:cs="Times New Roman"/>
          <w:color w:val="auto"/>
          <w:sz w:val="30"/>
          <w:szCs w:val="30"/>
          <w:highlight w:val="none"/>
        </w:rPr>
        <w:instrText xml:space="preserve"> TOC \o "1-2" \h \z \u </w:instrText>
      </w:r>
      <w:r>
        <w:rPr>
          <w:rFonts w:hint="default" w:ascii="Times New Roman" w:hAnsi="Times New Roman" w:eastAsia="宋体" w:cs="Times New Roman"/>
          <w:color w:val="auto"/>
          <w:sz w:val="30"/>
          <w:szCs w:val="30"/>
          <w:highlight w:val="none"/>
        </w:rPr>
        <w:fldChar w:fldCharType="separate"/>
      </w: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HYPERLINK \l _Toc5347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一、任务来源</w:t>
      </w:r>
      <w:r>
        <w:rPr>
          <w:rFonts w:hint="eastAsia" w:ascii="黑体" w:hAnsi="黑体" w:eastAsia="黑体" w:cs="黑体"/>
          <w:color w:val="auto"/>
          <w:sz w:val="30"/>
          <w:szCs w:val="30"/>
          <w:highlight w:val="none"/>
        </w:rPr>
        <w:tab/>
      </w: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PAGEREF _Toc5347 \h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1</w:t>
      </w:r>
      <w:r>
        <w:rPr>
          <w:rFonts w:hint="eastAsia" w:ascii="黑体" w:hAnsi="黑体" w:eastAsia="黑体" w:cs="黑体"/>
          <w:color w:val="auto"/>
          <w:sz w:val="30"/>
          <w:szCs w:val="30"/>
          <w:highlight w:val="none"/>
        </w:rPr>
        <w:fldChar w:fldCharType="end"/>
      </w:r>
      <w:r>
        <w:rPr>
          <w:rFonts w:hint="eastAsia" w:ascii="黑体" w:hAnsi="黑体" w:eastAsia="黑体" w:cs="黑体"/>
          <w:color w:val="auto"/>
          <w:sz w:val="30"/>
          <w:szCs w:val="30"/>
          <w:highlight w:val="none"/>
        </w:rPr>
        <w:fldChar w:fldCharType="end"/>
      </w:r>
    </w:p>
    <w:p w14:paraId="02107BBA">
      <w:pPr>
        <w:pStyle w:val="14"/>
        <w:tabs>
          <w:tab w:val="right" w:leader="dot" w:pos="8312"/>
        </w:tabs>
        <w:spacing w:line="360" w:lineRule="auto"/>
        <w:rPr>
          <w:rFonts w:hint="eastAsia" w:ascii="黑体" w:hAnsi="黑体" w:eastAsia="黑体" w:cs="黑体"/>
          <w:color w:val="auto"/>
          <w:sz w:val="30"/>
          <w:szCs w:val="30"/>
          <w:highlight w:val="none"/>
        </w:rPr>
      </w:pP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HYPERLINK \l _Toc11346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二、标准编制目的和意义</w:t>
      </w:r>
      <w:r>
        <w:rPr>
          <w:rFonts w:hint="eastAsia" w:ascii="黑体" w:hAnsi="黑体" w:eastAsia="黑体" w:cs="黑体"/>
          <w:color w:val="auto"/>
          <w:sz w:val="30"/>
          <w:szCs w:val="30"/>
          <w:highlight w:val="none"/>
        </w:rPr>
        <w:tab/>
      </w: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PAGEREF _Toc11346 \h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3</w:t>
      </w:r>
      <w:r>
        <w:rPr>
          <w:rFonts w:hint="eastAsia" w:ascii="黑体" w:hAnsi="黑体" w:eastAsia="黑体" w:cs="黑体"/>
          <w:color w:val="auto"/>
          <w:sz w:val="30"/>
          <w:szCs w:val="30"/>
          <w:highlight w:val="none"/>
        </w:rPr>
        <w:fldChar w:fldCharType="end"/>
      </w:r>
      <w:r>
        <w:rPr>
          <w:rFonts w:hint="eastAsia" w:ascii="黑体" w:hAnsi="黑体" w:eastAsia="黑体" w:cs="黑体"/>
          <w:color w:val="auto"/>
          <w:sz w:val="30"/>
          <w:szCs w:val="30"/>
          <w:highlight w:val="none"/>
        </w:rPr>
        <w:fldChar w:fldCharType="end"/>
      </w:r>
    </w:p>
    <w:p w14:paraId="46497774">
      <w:pPr>
        <w:pStyle w:val="14"/>
        <w:tabs>
          <w:tab w:val="right" w:leader="dot" w:pos="8312"/>
        </w:tabs>
        <w:spacing w:line="360" w:lineRule="auto"/>
        <w:rPr>
          <w:rFonts w:hint="eastAsia" w:ascii="黑体" w:hAnsi="黑体" w:eastAsia="黑体" w:cs="黑体"/>
          <w:color w:val="auto"/>
          <w:sz w:val="30"/>
          <w:szCs w:val="30"/>
          <w:highlight w:val="none"/>
        </w:rPr>
      </w:pP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HYPERLINK \l _Toc6562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三、编制过程</w:t>
      </w:r>
      <w:r>
        <w:rPr>
          <w:rFonts w:hint="eastAsia" w:ascii="黑体" w:hAnsi="黑体" w:eastAsia="黑体" w:cs="黑体"/>
          <w:color w:val="auto"/>
          <w:sz w:val="30"/>
          <w:szCs w:val="30"/>
          <w:highlight w:val="none"/>
        </w:rPr>
        <w:tab/>
      </w: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PAGEREF _Toc6562 \h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4</w:t>
      </w:r>
      <w:r>
        <w:rPr>
          <w:rFonts w:hint="eastAsia" w:ascii="黑体" w:hAnsi="黑体" w:eastAsia="黑体" w:cs="黑体"/>
          <w:color w:val="auto"/>
          <w:sz w:val="30"/>
          <w:szCs w:val="30"/>
          <w:highlight w:val="none"/>
        </w:rPr>
        <w:fldChar w:fldCharType="end"/>
      </w:r>
      <w:r>
        <w:rPr>
          <w:rFonts w:hint="eastAsia" w:ascii="黑体" w:hAnsi="黑体" w:eastAsia="黑体" w:cs="黑体"/>
          <w:color w:val="auto"/>
          <w:sz w:val="30"/>
          <w:szCs w:val="30"/>
          <w:highlight w:val="none"/>
        </w:rPr>
        <w:fldChar w:fldCharType="end"/>
      </w:r>
    </w:p>
    <w:p w14:paraId="292F545B">
      <w:pPr>
        <w:pStyle w:val="14"/>
        <w:tabs>
          <w:tab w:val="right" w:leader="dot" w:pos="8312"/>
        </w:tabs>
        <w:spacing w:line="360" w:lineRule="auto"/>
        <w:rPr>
          <w:rFonts w:hint="eastAsia" w:ascii="黑体" w:hAnsi="黑体" w:eastAsia="黑体" w:cs="黑体"/>
          <w:color w:val="auto"/>
          <w:sz w:val="30"/>
          <w:szCs w:val="30"/>
          <w:highlight w:val="none"/>
        </w:rPr>
      </w:pP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HYPERLINK \l _Toc7949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四、编制原则</w:t>
      </w:r>
      <w:r>
        <w:rPr>
          <w:rFonts w:hint="eastAsia" w:ascii="黑体" w:hAnsi="黑体" w:eastAsia="黑体" w:cs="黑体"/>
          <w:color w:val="auto"/>
          <w:sz w:val="30"/>
          <w:szCs w:val="30"/>
          <w:highlight w:val="none"/>
        </w:rPr>
        <w:tab/>
      </w: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PAGEREF _Toc7949 \h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6</w:t>
      </w:r>
      <w:r>
        <w:rPr>
          <w:rFonts w:hint="eastAsia" w:ascii="黑体" w:hAnsi="黑体" w:eastAsia="黑体" w:cs="黑体"/>
          <w:color w:val="auto"/>
          <w:sz w:val="30"/>
          <w:szCs w:val="30"/>
          <w:highlight w:val="none"/>
        </w:rPr>
        <w:fldChar w:fldCharType="end"/>
      </w:r>
      <w:r>
        <w:rPr>
          <w:rFonts w:hint="eastAsia" w:ascii="黑体" w:hAnsi="黑体" w:eastAsia="黑体" w:cs="黑体"/>
          <w:color w:val="auto"/>
          <w:sz w:val="30"/>
          <w:szCs w:val="30"/>
          <w:highlight w:val="none"/>
        </w:rPr>
        <w:fldChar w:fldCharType="end"/>
      </w:r>
    </w:p>
    <w:p w14:paraId="76A75E1A">
      <w:pPr>
        <w:pStyle w:val="14"/>
        <w:tabs>
          <w:tab w:val="right" w:leader="dot" w:pos="8312"/>
        </w:tabs>
        <w:spacing w:line="360" w:lineRule="auto"/>
      </w:pP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HYPERLINK \l _Toc11818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五、标准的主要技术内容</w:t>
      </w:r>
      <w:r>
        <w:rPr>
          <w:rFonts w:hint="eastAsia" w:ascii="黑体" w:hAnsi="黑体" w:eastAsia="黑体" w:cs="黑体"/>
          <w:color w:val="auto"/>
          <w:sz w:val="30"/>
          <w:szCs w:val="30"/>
          <w:highlight w:val="none"/>
        </w:rPr>
        <w:tab/>
      </w: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PAGEREF _Toc11818 \h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8</w:t>
      </w:r>
      <w:r>
        <w:rPr>
          <w:rFonts w:hint="eastAsia" w:ascii="黑体" w:hAnsi="黑体" w:eastAsia="黑体" w:cs="黑体"/>
          <w:color w:val="auto"/>
          <w:sz w:val="30"/>
          <w:szCs w:val="30"/>
          <w:highlight w:val="none"/>
        </w:rPr>
        <w:fldChar w:fldCharType="end"/>
      </w:r>
      <w:r>
        <w:rPr>
          <w:rFonts w:hint="eastAsia" w:ascii="黑体" w:hAnsi="黑体" w:eastAsia="黑体" w:cs="黑体"/>
          <w:color w:val="auto"/>
          <w:sz w:val="30"/>
          <w:szCs w:val="30"/>
          <w:highlight w:val="none"/>
        </w:rPr>
        <w:fldChar w:fldCharType="end"/>
      </w:r>
    </w:p>
    <w:p w14:paraId="56509FEB">
      <w:pPr>
        <w:pStyle w:val="14"/>
        <w:tabs>
          <w:tab w:val="right" w:leader="dot" w:pos="8312"/>
        </w:tabs>
        <w:spacing w:line="360" w:lineRule="auto"/>
        <w:ind w:left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\l _Toc19558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（一）标准适用范围</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PAGEREF _Toc19558 \h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8</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rPr>
        <w:fldChar w:fldCharType="end"/>
      </w:r>
    </w:p>
    <w:p w14:paraId="7A677C81">
      <w:pPr>
        <w:pStyle w:val="14"/>
        <w:tabs>
          <w:tab w:val="right" w:leader="dot" w:pos="8312"/>
        </w:tabs>
        <w:spacing w:line="360" w:lineRule="auto"/>
        <w:ind w:left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\l _Toc20967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二</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术语和定义</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PAGEREF _Toc20967 \h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8</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rPr>
        <w:fldChar w:fldCharType="end"/>
      </w:r>
    </w:p>
    <w:p w14:paraId="28A2C58B">
      <w:pPr>
        <w:pStyle w:val="14"/>
        <w:tabs>
          <w:tab w:val="right" w:leader="dot" w:pos="8312"/>
        </w:tabs>
        <w:spacing w:line="360" w:lineRule="auto"/>
        <w:ind w:left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\l _Toc6135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lang w:val="en-US" w:eastAsia="zh-CN"/>
        </w:rPr>
        <w:t>（三）总体要求</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PAGEREF _Toc6135 \h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10</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rPr>
        <w:fldChar w:fldCharType="end"/>
      </w:r>
    </w:p>
    <w:p w14:paraId="06FF3470">
      <w:pPr>
        <w:pStyle w:val="14"/>
        <w:tabs>
          <w:tab w:val="right" w:leader="dot" w:pos="8312"/>
        </w:tabs>
        <w:spacing w:line="360" w:lineRule="auto"/>
        <w:ind w:left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\l _Toc7293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lang w:val="en-US" w:eastAsia="zh-CN"/>
        </w:rPr>
        <w:t>（四）</w:t>
      </w:r>
      <w:r>
        <w:rPr>
          <w:rFonts w:hint="eastAsia" w:ascii="仿宋" w:hAnsi="仿宋" w:eastAsia="仿宋" w:cs="仿宋"/>
          <w:color w:val="auto"/>
          <w:sz w:val="30"/>
          <w:szCs w:val="30"/>
          <w:highlight w:val="none"/>
        </w:rPr>
        <w:t>创建技术要求</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lang w:val="en-US" w:eastAsia="zh-CN"/>
        </w:rPr>
        <w:t>0</w:t>
      </w:r>
    </w:p>
    <w:p w14:paraId="1002AC03">
      <w:pPr>
        <w:pStyle w:val="14"/>
        <w:tabs>
          <w:tab w:val="right" w:leader="dot" w:pos="8312"/>
        </w:tabs>
        <w:spacing w:line="360" w:lineRule="auto"/>
        <w:ind w:left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\l _Toc1716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lang w:val="en-US" w:eastAsia="zh-CN"/>
        </w:rPr>
        <w:t>（五）建设指标</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PAGEREF _Toc1716 \h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15</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rPr>
        <w:fldChar w:fldCharType="end"/>
      </w:r>
    </w:p>
    <w:p w14:paraId="4E615C87">
      <w:pPr>
        <w:pStyle w:val="14"/>
        <w:tabs>
          <w:tab w:val="right" w:leader="dot" w:pos="8312"/>
        </w:tabs>
        <w:spacing w:line="360" w:lineRule="auto"/>
        <w:ind w:leftChars="200"/>
      </w:pP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\l _Toc25239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lang w:val="en-US" w:eastAsia="zh-CN"/>
        </w:rPr>
        <w:t>（六）附录</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PAGEREF _Toc25239 \h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15</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rPr>
        <w:fldChar w:fldCharType="end"/>
      </w:r>
    </w:p>
    <w:p w14:paraId="33EA414D">
      <w:pPr>
        <w:pStyle w:val="14"/>
        <w:tabs>
          <w:tab w:val="right" w:leader="dot" w:pos="8312"/>
        </w:tabs>
        <w:spacing w:line="360" w:lineRule="auto"/>
        <w:rPr>
          <w:rFonts w:hint="eastAsia" w:ascii="黑体" w:hAnsi="黑体" w:eastAsia="黑体" w:cs="黑体"/>
          <w:color w:val="auto"/>
          <w:sz w:val="30"/>
          <w:szCs w:val="30"/>
          <w:highlight w:val="none"/>
        </w:rPr>
      </w:pPr>
      <w:r>
        <w:rPr>
          <w:rFonts w:hint="default" w:ascii="黑体" w:hAnsi="黑体" w:eastAsia="黑体" w:cs="黑体"/>
          <w:color w:val="auto"/>
          <w:sz w:val="30"/>
          <w:szCs w:val="30"/>
          <w:highlight w:val="none"/>
        </w:rPr>
        <w:fldChar w:fldCharType="begin"/>
      </w:r>
      <w:r>
        <w:rPr>
          <w:rFonts w:hint="default" w:ascii="黑体" w:hAnsi="黑体" w:eastAsia="黑体" w:cs="黑体"/>
          <w:color w:val="auto"/>
          <w:sz w:val="30"/>
          <w:szCs w:val="30"/>
          <w:highlight w:val="none"/>
        </w:rPr>
        <w:instrText xml:space="preserve"> HYPERLINK \l _Toc13252 </w:instrText>
      </w:r>
      <w:r>
        <w:rPr>
          <w:rFonts w:hint="default"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六、与国内外同类标准技术内容的对比情况</w:t>
      </w:r>
      <w:r>
        <w:rPr>
          <w:rFonts w:hint="eastAsia" w:ascii="黑体" w:hAnsi="黑体" w:eastAsia="黑体" w:cs="黑体"/>
          <w:color w:val="auto"/>
          <w:sz w:val="30"/>
          <w:szCs w:val="30"/>
          <w:highlight w:val="none"/>
        </w:rPr>
        <w:tab/>
      </w:r>
      <w:r>
        <w:rPr>
          <w:rFonts w:hint="eastAsia" w:ascii="黑体" w:hAnsi="黑体" w:eastAsia="黑体" w:cs="黑体"/>
          <w:color w:val="auto"/>
          <w:sz w:val="30"/>
          <w:szCs w:val="30"/>
          <w:highlight w:val="none"/>
        </w:rPr>
        <w:fldChar w:fldCharType="begin"/>
      </w:r>
      <w:r>
        <w:rPr>
          <w:rFonts w:hint="eastAsia" w:ascii="黑体" w:hAnsi="黑体" w:eastAsia="黑体" w:cs="黑体"/>
          <w:color w:val="auto"/>
          <w:sz w:val="30"/>
          <w:szCs w:val="30"/>
          <w:highlight w:val="none"/>
        </w:rPr>
        <w:instrText xml:space="preserve"> PAGEREF _Toc13252 \h </w:instrText>
      </w:r>
      <w:r>
        <w:rPr>
          <w:rFonts w:hint="eastAsia"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16</w:t>
      </w:r>
      <w:r>
        <w:rPr>
          <w:rFonts w:hint="eastAsia" w:ascii="黑体" w:hAnsi="黑体" w:eastAsia="黑体" w:cs="黑体"/>
          <w:color w:val="auto"/>
          <w:sz w:val="30"/>
          <w:szCs w:val="30"/>
          <w:highlight w:val="none"/>
        </w:rPr>
        <w:fldChar w:fldCharType="end"/>
      </w:r>
      <w:r>
        <w:rPr>
          <w:rFonts w:hint="default" w:ascii="黑体" w:hAnsi="黑体" w:eastAsia="黑体" w:cs="黑体"/>
          <w:color w:val="auto"/>
          <w:sz w:val="30"/>
          <w:szCs w:val="30"/>
          <w:highlight w:val="none"/>
        </w:rPr>
        <w:fldChar w:fldCharType="end"/>
      </w:r>
    </w:p>
    <w:p w14:paraId="1D62EB54">
      <w:pPr>
        <w:pStyle w:val="14"/>
        <w:tabs>
          <w:tab w:val="right" w:leader="dot" w:pos="8312"/>
        </w:tabs>
        <w:spacing w:line="360" w:lineRule="auto"/>
        <w:ind w:leftChars="200"/>
        <w:rPr>
          <w:rFonts w:hint="eastAsia" w:ascii="仿宋" w:hAnsi="仿宋" w:eastAsia="仿宋" w:cs="仿宋"/>
          <w:color w:val="auto"/>
          <w:sz w:val="30"/>
          <w:szCs w:val="30"/>
          <w:highlight w:val="none"/>
        </w:rPr>
      </w:pPr>
      <w:r>
        <w:rPr>
          <w:rFonts w:hint="default" w:ascii="仿宋" w:hAnsi="仿宋" w:eastAsia="仿宋" w:cs="仿宋"/>
          <w:color w:val="auto"/>
          <w:sz w:val="30"/>
          <w:szCs w:val="30"/>
          <w:highlight w:val="none"/>
        </w:rPr>
        <w:fldChar w:fldCharType="begin"/>
      </w:r>
      <w:r>
        <w:rPr>
          <w:rFonts w:hint="default" w:ascii="仿宋" w:hAnsi="仿宋" w:eastAsia="仿宋" w:cs="仿宋"/>
          <w:color w:val="auto"/>
          <w:sz w:val="30"/>
          <w:szCs w:val="30"/>
          <w:highlight w:val="none"/>
        </w:rPr>
        <w:instrText xml:space="preserve"> HYPERLINK \l _Toc31083 </w:instrText>
      </w:r>
      <w:r>
        <w:rPr>
          <w:rFonts w:hint="default" w:ascii="仿宋" w:hAnsi="仿宋" w:eastAsia="仿宋" w:cs="仿宋"/>
          <w:color w:val="auto"/>
          <w:sz w:val="30"/>
          <w:szCs w:val="30"/>
          <w:highlight w:val="none"/>
        </w:rPr>
        <w:fldChar w:fldCharType="separate"/>
      </w:r>
      <w:r>
        <w:rPr>
          <w:rFonts w:hint="default" w:ascii="仿宋" w:hAnsi="仿宋" w:eastAsia="仿宋" w:cs="仿宋"/>
          <w:color w:val="auto"/>
          <w:sz w:val="30"/>
          <w:szCs w:val="30"/>
          <w:highlight w:val="none"/>
        </w:rPr>
        <w:t>（</w:t>
      </w:r>
      <w:r>
        <w:rPr>
          <w:rFonts w:hint="default" w:ascii="仿宋" w:hAnsi="仿宋" w:eastAsia="仿宋" w:cs="仿宋"/>
          <w:color w:val="auto"/>
          <w:sz w:val="30"/>
          <w:szCs w:val="30"/>
          <w:highlight w:val="none"/>
          <w:lang w:val="en-US" w:eastAsia="zh-CN"/>
        </w:rPr>
        <w:t>一</w:t>
      </w:r>
      <w:r>
        <w:rPr>
          <w:rFonts w:hint="default" w:ascii="仿宋" w:hAnsi="仿宋" w:eastAsia="仿宋" w:cs="仿宋"/>
          <w:color w:val="auto"/>
          <w:sz w:val="30"/>
          <w:szCs w:val="30"/>
          <w:highlight w:val="none"/>
        </w:rPr>
        <w:t>）和国内标准的对比</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PAGEREF _Toc31083 \h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16</w:t>
      </w:r>
      <w:r>
        <w:rPr>
          <w:rFonts w:hint="eastAsia" w:ascii="仿宋" w:hAnsi="仿宋" w:eastAsia="仿宋" w:cs="仿宋"/>
          <w:color w:val="auto"/>
          <w:sz w:val="30"/>
          <w:szCs w:val="30"/>
          <w:highlight w:val="none"/>
        </w:rPr>
        <w:fldChar w:fldCharType="end"/>
      </w:r>
      <w:r>
        <w:rPr>
          <w:rFonts w:hint="default" w:ascii="仿宋" w:hAnsi="仿宋" w:eastAsia="仿宋" w:cs="仿宋"/>
          <w:color w:val="auto"/>
          <w:sz w:val="30"/>
          <w:szCs w:val="30"/>
          <w:highlight w:val="none"/>
        </w:rPr>
        <w:fldChar w:fldCharType="end"/>
      </w:r>
    </w:p>
    <w:p w14:paraId="59F4FD5F">
      <w:pPr>
        <w:pStyle w:val="14"/>
        <w:tabs>
          <w:tab w:val="right" w:leader="dot" w:pos="8312"/>
        </w:tabs>
        <w:spacing w:line="360" w:lineRule="auto"/>
        <w:ind w:leftChars="200"/>
        <w:rPr>
          <w:rFonts w:hint="eastAsia" w:ascii="仿宋" w:hAnsi="仿宋" w:eastAsia="仿宋" w:cs="仿宋"/>
          <w:color w:val="auto"/>
          <w:sz w:val="30"/>
          <w:szCs w:val="30"/>
          <w:highlight w:val="none"/>
        </w:rPr>
      </w:pPr>
      <w:r>
        <w:rPr>
          <w:rFonts w:hint="default" w:ascii="仿宋" w:hAnsi="仿宋" w:eastAsia="仿宋" w:cs="仿宋"/>
          <w:color w:val="auto"/>
          <w:sz w:val="30"/>
          <w:szCs w:val="30"/>
          <w:highlight w:val="none"/>
        </w:rPr>
        <w:fldChar w:fldCharType="begin"/>
      </w:r>
      <w:r>
        <w:rPr>
          <w:rFonts w:hint="default" w:ascii="仿宋" w:hAnsi="仿宋" w:eastAsia="仿宋" w:cs="仿宋"/>
          <w:color w:val="auto"/>
          <w:sz w:val="30"/>
          <w:szCs w:val="30"/>
          <w:highlight w:val="none"/>
        </w:rPr>
        <w:instrText xml:space="preserve"> HYPERLINK \l _Toc1503 </w:instrText>
      </w:r>
      <w:r>
        <w:rPr>
          <w:rFonts w:hint="default"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二</w:t>
      </w:r>
      <w:r>
        <w:rPr>
          <w:rFonts w:hint="eastAsia" w:ascii="仿宋" w:hAnsi="仿宋" w:eastAsia="仿宋" w:cs="仿宋"/>
          <w:color w:val="auto"/>
          <w:sz w:val="30"/>
          <w:szCs w:val="30"/>
          <w:highlight w:val="none"/>
        </w:rPr>
        <w:t>）和国</w:t>
      </w:r>
      <w:r>
        <w:rPr>
          <w:rFonts w:hint="eastAsia" w:ascii="仿宋" w:hAnsi="仿宋" w:eastAsia="仿宋" w:cs="仿宋"/>
          <w:color w:val="auto"/>
          <w:sz w:val="30"/>
          <w:szCs w:val="30"/>
          <w:highlight w:val="none"/>
          <w:lang w:val="en-US" w:eastAsia="zh-CN"/>
        </w:rPr>
        <w:t>外</w:t>
      </w:r>
      <w:r>
        <w:rPr>
          <w:rFonts w:hint="eastAsia" w:ascii="仿宋" w:hAnsi="仿宋" w:eastAsia="仿宋" w:cs="仿宋"/>
          <w:color w:val="auto"/>
          <w:sz w:val="30"/>
          <w:szCs w:val="30"/>
          <w:highlight w:val="none"/>
        </w:rPr>
        <w:t>标准的对比</w:t>
      </w:r>
      <w:r>
        <w:rPr>
          <w:rFonts w:hint="eastAsia" w:ascii="仿宋" w:hAnsi="仿宋" w:eastAsia="仿宋" w:cs="仿宋"/>
          <w:color w:val="auto"/>
          <w:sz w:val="30"/>
          <w:szCs w:val="30"/>
          <w:highlight w:val="none"/>
        </w:rPr>
        <w:tab/>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PAGEREF _Toc1503 \h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17</w:t>
      </w:r>
      <w:r>
        <w:rPr>
          <w:rFonts w:hint="eastAsia" w:ascii="仿宋" w:hAnsi="仿宋" w:eastAsia="仿宋" w:cs="仿宋"/>
          <w:color w:val="auto"/>
          <w:sz w:val="30"/>
          <w:szCs w:val="30"/>
          <w:highlight w:val="none"/>
        </w:rPr>
        <w:fldChar w:fldCharType="end"/>
      </w:r>
      <w:r>
        <w:rPr>
          <w:rFonts w:hint="default" w:ascii="仿宋" w:hAnsi="仿宋" w:eastAsia="仿宋" w:cs="仿宋"/>
          <w:color w:val="auto"/>
          <w:sz w:val="30"/>
          <w:szCs w:val="30"/>
          <w:highlight w:val="none"/>
        </w:rPr>
        <w:fldChar w:fldCharType="end"/>
      </w:r>
    </w:p>
    <w:p w14:paraId="29319CB2">
      <w:pPr>
        <w:pStyle w:val="14"/>
        <w:tabs>
          <w:tab w:val="right" w:leader="dot" w:pos="8312"/>
        </w:tabs>
        <w:spacing w:line="360" w:lineRule="auto"/>
        <w:rPr>
          <w:rFonts w:hint="default" w:ascii="黑体" w:hAnsi="黑体" w:eastAsia="黑体" w:cs="黑体"/>
          <w:color w:val="auto"/>
          <w:sz w:val="30"/>
          <w:szCs w:val="30"/>
          <w:highlight w:val="none"/>
        </w:rPr>
      </w:pPr>
      <w:r>
        <w:rPr>
          <w:rFonts w:hint="default" w:ascii="黑体" w:hAnsi="黑体" w:eastAsia="黑体" w:cs="黑体"/>
          <w:color w:val="auto"/>
          <w:sz w:val="30"/>
          <w:szCs w:val="30"/>
          <w:highlight w:val="none"/>
        </w:rPr>
        <w:fldChar w:fldCharType="begin"/>
      </w:r>
      <w:r>
        <w:rPr>
          <w:rFonts w:hint="default" w:ascii="黑体" w:hAnsi="黑体" w:eastAsia="黑体" w:cs="黑体"/>
          <w:color w:val="auto"/>
          <w:sz w:val="30"/>
          <w:szCs w:val="30"/>
          <w:highlight w:val="none"/>
        </w:rPr>
        <w:instrText xml:space="preserve"> HYPERLINK \l _Toc28026 </w:instrText>
      </w:r>
      <w:r>
        <w:rPr>
          <w:rFonts w:hint="default"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七、与有关法律、行政法规及相关标准的关系</w:t>
      </w:r>
      <w:r>
        <w:rPr>
          <w:rFonts w:hint="default" w:ascii="黑体" w:hAnsi="黑体" w:eastAsia="黑体" w:cs="黑体"/>
          <w:color w:val="auto"/>
          <w:sz w:val="30"/>
          <w:szCs w:val="30"/>
          <w:highlight w:val="none"/>
        </w:rPr>
        <w:tab/>
      </w:r>
      <w:r>
        <w:rPr>
          <w:rFonts w:hint="default" w:ascii="黑体" w:hAnsi="黑体" w:eastAsia="黑体" w:cs="黑体"/>
          <w:color w:val="auto"/>
          <w:sz w:val="30"/>
          <w:szCs w:val="30"/>
          <w:highlight w:val="none"/>
        </w:rPr>
        <w:fldChar w:fldCharType="begin"/>
      </w:r>
      <w:r>
        <w:rPr>
          <w:rFonts w:hint="default" w:ascii="黑体" w:hAnsi="黑体" w:eastAsia="黑体" w:cs="黑体"/>
          <w:color w:val="auto"/>
          <w:sz w:val="30"/>
          <w:szCs w:val="30"/>
          <w:highlight w:val="none"/>
        </w:rPr>
        <w:instrText xml:space="preserve"> PAGEREF _Toc28026 \h </w:instrText>
      </w:r>
      <w:r>
        <w:rPr>
          <w:rFonts w:hint="default" w:ascii="黑体" w:hAnsi="黑体" w:eastAsia="黑体" w:cs="黑体"/>
          <w:color w:val="auto"/>
          <w:sz w:val="30"/>
          <w:szCs w:val="30"/>
          <w:highlight w:val="none"/>
        </w:rPr>
        <w:fldChar w:fldCharType="separate"/>
      </w:r>
      <w:r>
        <w:rPr>
          <w:rFonts w:hint="default" w:ascii="黑体" w:hAnsi="黑体" w:eastAsia="黑体" w:cs="黑体"/>
          <w:color w:val="auto"/>
          <w:sz w:val="30"/>
          <w:szCs w:val="30"/>
          <w:highlight w:val="none"/>
        </w:rPr>
        <w:t>18</w:t>
      </w:r>
      <w:r>
        <w:rPr>
          <w:rFonts w:hint="default" w:ascii="黑体" w:hAnsi="黑体" w:eastAsia="黑体" w:cs="黑体"/>
          <w:color w:val="auto"/>
          <w:sz w:val="30"/>
          <w:szCs w:val="30"/>
          <w:highlight w:val="none"/>
        </w:rPr>
        <w:fldChar w:fldCharType="end"/>
      </w:r>
      <w:r>
        <w:rPr>
          <w:rFonts w:hint="default" w:ascii="黑体" w:hAnsi="黑体" w:eastAsia="黑体" w:cs="黑体"/>
          <w:color w:val="auto"/>
          <w:sz w:val="30"/>
          <w:szCs w:val="30"/>
          <w:highlight w:val="none"/>
        </w:rPr>
        <w:fldChar w:fldCharType="end"/>
      </w:r>
    </w:p>
    <w:p w14:paraId="1DD14242">
      <w:pPr>
        <w:pStyle w:val="14"/>
        <w:tabs>
          <w:tab w:val="right" w:leader="dot" w:pos="8312"/>
        </w:tabs>
        <w:spacing w:line="360" w:lineRule="auto"/>
        <w:rPr>
          <w:rFonts w:hint="default" w:ascii="黑体" w:hAnsi="黑体" w:eastAsia="黑体" w:cs="黑体"/>
          <w:color w:val="auto"/>
          <w:sz w:val="30"/>
          <w:szCs w:val="30"/>
          <w:highlight w:val="none"/>
        </w:rPr>
      </w:pPr>
      <w:r>
        <w:rPr>
          <w:rFonts w:hint="default" w:ascii="黑体" w:hAnsi="黑体" w:eastAsia="黑体" w:cs="黑体"/>
          <w:color w:val="auto"/>
          <w:sz w:val="30"/>
          <w:szCs w:val="30"/>
          <w:highlight w:val="none"/>
        </w:rPr>
        <w:fldChar w:fldCharType="begin"/>
      </w:r>
      <w:r>
        <w:rPr>
          <w:rFonts w:hint="default" w:ascii="黑体" w:hAnsi="黑体" w:eastAsia="黑体" w:cs="黑体"/>
          <w:color w:val="auto"/>
          <w:sz w:val="30"/>
          <w:szCs w:val="30"/>
          <w:highlight w:val="none"/>
        </w:rPr>
        <w:instrText xml:space="preserve"> HYPERLINK \l _Toc24622 </w:instrText>
      </w:r>
      <w:r>
        <w:rPr>
          <w:rFonts w:hint="default"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八、重大分歧意见的处理经过和依据</w:t>
      </w:r>
      <w:r>
        <w:rPr>
          <w:rFonts w:hint="default" w:ascii="黑体" w:hAnsi="黑体" w:eastAsia="黑体" w:cs="黑体"/>
          <w:color w:val="auto"/>
          <w:sz w:val="30"/>
          <w:szCs w:val="30"/>
          <w:highlight w:val="none"/>
        </w:rPr>
        <w:tab/>
      </w:r>
      <w:r>
        <w:rPr>
          <w:rFonts w:hint="default" w:ascii="黑体" w:hAnsi="黑体" w:eastAsia="黑体" w:cs="黑体"/>
          <w:color w:val="auto"/>
          <w:sz w:val="30"/>
          <w:szCs w:val="30"/>
          <w:highlight w:val="none"/>
        </w:rPr>
        <w:fldChar w:fldCharType="begin"/>
      </w:r>
      <w:r>
        <w:rPr>
          <w:rFonts w:hint="default" w:ascii="黑体" w:hAnsi="黑体" w:eastAsia="黑体" w:cs="黑体"/>
          <w:color w:val="auto"/>
          <w:sz w:val="30"/>
          <w:szCs w:val="30"/>
          <w:highlight w:val="none"/>
        </w:rPr>
        <w:instrText xml:space="preserve"> PAGEREF _Toc24622 \h </w:instrText>
      </w:r>
      <w:r>
        <w:rPr>
          <w:rFonts w:hint="default" w:ascii="黑体" w:hAnsi="黑体" w:eastAsia="黑体" w:cs="黑体"/>
          <w:color w:val="auto"/>
          <w:sz w:val="30"/>
          <w:szCs w:val="30"/>
          <w:highlight w:val="none"/>
        </w:rPr>
        <w:fldChar w:fldCharType="separate"/>
      </w:r>
      <w:r>
        <w:rPr>
          <w:rFonts w:hint="default" w:ascii="黑体" w:hAnsi="黑体" w:eastAsia="黑体" w:cs="黑体"/>
          <w:color w:val="auto"/>
          <w:sz w:val="30"/>
          <w:szCs w:val="30"/>
          <w:highlight w:val="none"/>
        </w:rPr>
        <w:t>19</w:t>
      </w:r>
      <w:r>
        <w:rPr>
          <w:rFonts w:hint="default" w:ascii="黑体" w:hAnsi="黑体" w:eastAsia="黑体" w:cs="黑体"/>
          <w:color w:val="auto"/>
          <w:sz w:val="30"/>
          <w:szCs w:val="30"/>
          <w:highlight w:val="none"/>
        </w:rPr>
        <w:fldChar w:fldCharType="end"/>
      </w:r>
      <w:r>
        <w:rPr>
          <w:rFonts w:hint="default" w:ascii="黑体" w:hAnsi="黑体" w:eastAsia="黑体" w:cs="黑体"/>
          <w:color w:val="auto"/>
          <w:sz w:val="30"/>
          <w:szCs w:val="30"/>
          <w:highlight w:val="none"/>
        </w:rPr>
        <w:fldChar w:fldCharType="end"/>
      </w:r>
    </w:p>
    <w:p w14:paraId="191E222B">
      <w:pPr>
        <w:pStyle w:val="14"/>
        <w:tabs>
          <w:tab w:val="right" w:leader="dot" w:pos="8312"/>
        </w:tabs>
        <w:spacing w:line="360" w:lineRule="auto"/>
        <w:rPr>
          <w:rFonts w:hint="default" w:ascii="黑体" w:hAnsi="黑体" w:eastAsia="黑体" w:cs="黑体"/>
          <w:color w:val="auto"/>
          <w:sz w:val="30"/>
          <w:szCs w:val="30"/>
          <w:highlight w:val="none"/>
        </w:rPr>
      </w:pPr>
      <w:r>
        <w:rPr>
          <w:rFonts w:hint="default" w:ascii="黑体" w:hAnsi="黑体" w:eastAsia="黑体" w:cs="黑体"/>
          <w:color w:val="auto"/>
          <w:sz w:val="30"/>
          <w:szCs w:val="30"/>
          <w:highlight w:val="none"/>
        </w:rPr>
        <w:fldChar w:fldCharType="begin"/>
      </w:r>
      <w:r>
        <w:rPr>
          <w:rFonts w:hint="default" w:ascii="黑体" w:hAnsi="黑体" w:eastAsia="黑体" w:cs="黑体"/>
          <w:color w:val="auto"/>
          <w:sz w:val="30"/>
          <w:szCs w:val="30"/>
          <w:highlight w:val="none"/>
        </w:rPr>
        <w:instrText xml:space="preserve"> HYPERLINK \l _Toc23096 </w:instrText>
      </w:r>
      <w:r>
        <w:rPr>
          <w:rFonts w:hint="default"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九、实施标准的措施建议</w:t>
      </w:r>
      <w:r>
        <w:rPr>
          <w:rFonts w:hint="default" w:ascii="黑体" w:hAnsi="黑体" w:eastAsia="黑体" w:cs="黑体"/>
          <w:color w:val="auto"/>
          <w:sz w:val="30"/>
          <w:szCs w:val="30"/>
          <w:highlight w:val="none"/>
        </w:rPr>
        <w:tab/>
      </w:r>
      <w:r>
        <w:rPr>
          <w:rFonts w:hint="default" w:ascii="黑体" w:hAnsi="黑体" w:eastAsia="黑体" w:cs="黑体"/>
          <w:color w:val="auto"/>
          <w:sz w:val="30"/>
          <w:szCs w:val="30"/>
          <w:highlight w:val="none"/>
        </w:rPr>
        <w:fldChar w:fldCharType="begin"/>
      </w:r>
      <w:r>
        <w:rPr>
          <w:rFonts w:hint="default" w:ascii="黑体" w:hAnsi="黑体" w:eastAsia="黑体" w:cs="黑体"/>
          <w:color w:val="auto"/>
          <w:sz w:val="30"/>
          <w:szCs w:val="30"/>
          <w:highlight w:val="none"/>
        </w:rPr>
        <w:instrText xml:space="preserve"> PAGEREF _Toc23096 \h </w:instrText>
      </w:r>
      <w:r>
        <w:rPr>
          <w:rFonts w:hint="default" w:ascii="黑体" w:hAnsi="黑体" w:eastAsia="黑体" w:cs="黑体"/>
          <w:color w:val="auto"/>
          <w:sz w:val="30"/>
          <w:szCs w:val="30"/>
          <w:highlight w:val="none"/>
        </w:rPr>
        <w:fldChar w:fldCharType="separate"/>
      </w:r>
      <w:r>
        <w:rPr>
          <w:rFonts w:hint="default" w:ascii="黑体" w:hAnsi="黑体" w:eastAsia="黑体" w:cs="黑体"/>
          <w:color w:val="auto"/>
          <w:sz w:val="30"/>
          <w:szCs w:val="30"/>
          <w:highlight w:val="none"/>
        </w:rPr>
        <w:t>20</w:t>
      </w:r>
      <w:r>
        <w:rPr>
          <w:rFonts w:hint="default" w:ascii="黑体" w:hAnsi="黑体" w:eastAsia="黑体" w:cs="黑体"/>
          <w:color w:val="auto"/>
          <w:sz w:val="30"/>
          <w:szCs w:val="30"/>
          <w:highlight w:val="none"/>
        </w:rPr>
        <w:fldChar w:fldCharType="end"/>
      </w:r>
      <w:r>
        <w:rPr>
          <w:rFonts w:hint="default" w:ascii="黑体" w:hAnsi="黑体" w:eastAsia="黑体" w:cs="黑体"/>
          <w:color w:val="auto"/>
          <w:sz w:val="30"/>
          <w:szCs w:val="30"/>
          <w:highlight w:val="none"/>
        </w:rPr>
        <w:fldChar w:fldCharType="end"/>
      </w:r>
    </w:p>
    <w:p w14:paraId="796D3432">
      <w:pPr>
        <w:pStyle w:val="14"/>
        <w:tabs>
          <w:tab w:val="right" w:leader="dot" w:pos="8312"/>
        </w:tabs>
        <w:spacing w:line="360" w:lineRule="auto"/>
      </w:pPr>
      <w:r>
        <w:rPr>
          <w:rFonts w:hint="default" w:ascii="黑体" w:hAnsi="黑体" w:eastAsia="黑体" w:cs="黑体"/>
          <w:color w:val="auto"/>
          <w:sz w:val="30"/>
          <w:szCs w:val="30"/>
          <w:highlight w:val="none"/>
        </w:rPr>
        <w:fldChar w:fldCharType="begin"/>
      </w:r>
      <w:r>
        <w:rPr>
          <w:rFonts w:hint="default" w:ascii="黑体" w:hAnsi="黑体" w:eastAsia="黑体" w:cs="黑体"/>
          <w:color w:val="auto"/>
          <w:sz w:val="30"/>
          <w:szCs w:val="30"/>
          <w:highlight w:val="none"/>
        </w:rPr>
        <w:instrText xml:space="preserve"> HYPERLINK \l _Toc18845 </w:instrText>
      </w:r>
      <w:r>
        <w:rPr>
          <w:rFonts w:hint="default" w:ascii="黑体" w:hAnsi="黑体" w:eastAsia="黑体" w:cs="黑体"/>
          <w:color w:val="auto"/>
          <w:sz w:val="30"/>
          <w:szCs w:val="30"/>
          <w:highlight w:val="none"/>
        </w:rPr>
        <w:fldChar w:fldCharType="separate"/>
      </w:r>
      <w:r>
        <w:rPr>
          <w:rFonts w:hint="eastAsia" w:ascii="黑体" w:hAnsi="黑体" w:eastAsia="黑体" w:cs="黑体"/>
          <w:color w:val="auto"/>
          <w:sz w:val="30"/>
          <w:szCs w:val="30"/>
          <w:highlight w:val="none"/>
        </w:rPr>
        <w:t>十、其他应当说明的事项</w:t>
      </w:r>
      <w:r>
        <w:rPr>
          <w:rFonts w:hint="default" w:ascii="黑体" w:hAnsi="黑体" w:eastAsia="黑体" w:cs="黑体"/>
          <w:color w:val="auto"/>
          <w:sz w:val="30"/>
          <w:szCs w:val="30"/>
          <w:highlight w:val="none"/>
        </w:rPr>
        <w:tab/>
      </w:r>
      <w:r>
        <w:rPr>
          <w:rFonts w:hint="default" w:ascii="黑体" w:hAnsi="黑体" w:eastAsia="黑体" w:cs="黑体"/>
          <w:color w:val="auto"/>
          <w:sz w:val="30"/>
          <w:szCs w:val="30"/>
          <w:highlight w:val="none"/>
        </w:rPr>
        <w:fldChar w:fldCharType="begin"/>
      </w:r>
      <w:r>
        <w:rPr>
          <w:rFonts w:hint="default" w:ascii="黑体" w:hAnsi="黑体" w:eastAsia="黑体" w:cs="黑体"/>
          <w:color w:val="auto"/>
          <w:sz w:val="30"/>
          <w:szCs w:val="30"/>
          <w:highlight w:val="none"/>
        </w:rPr>
        <w:instrText xml:space="preserve"> PAGEREF _Toc18845 \h </w:instrText>
      </w:r>
      <w:r>
        <w:rPr>
          <w:rFonts w:hint="default" w:ascii="黑体" w:hAnsi="黑体" w:eastAsia="黑体" w:cs="黑体"/>
          <w:color w:val="auto"/>
          <w:sz w:val="30"/>
          <w:szCs w:val="30"/>
          <w:highlight w:val="none"/>
        </w:rPr>
        <w:fldChar w:fldCharType="separate"/>
      </w:r>
      <w:r>
        <w:rPr>
          <w:rFonts w:hint="default" w:ascii="黑体" w:hAnsi="黑体" w:eastAsia="黑体" w:cs="黑体"/>
          <w:color w:val="auto"/>
          <w:sz w:val="30"/>
          <w:szCs w:val="30"/>
          <w:highlight w:val="none"/>
        </w:rPr>
        <w:t>22</w:t>
      </w:r>
      <w:r>
        <w:rPr>
          <w:rFonts w:hint="default" w:ascii="黑体" w:hAnsi="黑体" w:eastAsia="黑体" w:cs="黑体"/>
          <w:color w:val="auto"/>
          <w:sz w:val="30"/>
          <w:szCs w:val="30"/>
          <w:highlight w:val="none"/>
        </w:rPr>
        <w:fldChar w:fldCharType="end"/>
      </w:r>
      <w:r>
        <w:rPr>
          <w:rFonts w:hint="default" w:ascii="黑体" w:hAnsi="黑体" w:eastAsia="黑体" w:cs="黑体"/>
          <w:color w:val="auto"/>
          <w:sz w:val="30"/>
          <w:szCs w:val="30"/>
          <w:highlight w:val="none"/>
        </w:rPr>
        <w:fldChar w:fldCharType="end"/>
      </w:r>
    </w:p>
    <w:p w14:paraId="1B09BA58">
      <w:pPr>
        <w:spacing w:line="360" w:lineRule="auto"/>
        <w:jc w:val="center"/>
        <w:rPr>
          <w:rFonts w:hint="eastAsia"/>
          <w:b/>
          <w:color w:val="auto"/>
          <w:sz w:val="32"/>
          <w:szCs w:val="32"/>
        </w:rPr>
        <w:sectPr>
          <w:footerReference r:id="rId5" w:type="default"/>
          <w:pgSz w:w="11906" w:h="16838"/>
          <w:pgMar w:top="1440" w:right="1797" w:bottom="1440" w:left="1797" w:header="851" w:footer="992" w:gutter="0"/>
          <w:pgNumType w:start="1"/>
          <w:cols w:space="425" w:num="1"/>
          <w:docGrid w:linePitch="312" w:charSpace="0"/>
        </w:sectPr>
      </w:pPr>
      <w:r>
        <w:rPr>
          <w:rFonts w:hint="default" w:ascii="Times New Roman" w:hAnsi="Times New Roman" w:eastAsia="宋体" w:cs="Times New Roman"/>
          <w:color w:val="auto"/>
          <w:szCs w:val="30"/>
          <w:highlight w:val="none"/>
        </w:rPr>
        <w:fldChar w:fldCharType="end"/>
      </w:r>
    </w:p>
    <w:p w14:paraId="17E9B14B">
      <w:pPr>
        <w:spacing w:before="469" w:beforeLines="150" w:line="240" w:lineRule="auto"/>
        <w:jc w:val="center"/>
        <w:rPr>
          <w:rFonts w:hint="eastAsia"/>
          <w:b/>
          <w:color w:val="auto"/>
          <w:sz w:val="36"/>
          <w:szCs w:val="36"/>
          <w:lang w:eastAsia="zh-CN"/>
        </w:rPr>
      </w:pPr>
      <w:r>
        <w:rPr>
          <w:rFonts w:hint="eastAsia"/>
          <w:b/>
          <w:color w:val="auto"/>
          <w:sz w:val="36"/>
          <w:szCs w:val="36"/>
          <w:lang w:eastAsia="zh-CN"/>
        </w:rPr>
        <w:t>《无异味园区创建技术指南》</w:t>
      </w:r>
    </w:p>
    <w:p w14:paraId="41A01CCB">
      <w:pPr>
        <w:spacing w:before="313" w:beforeLines="100" w:line="240" w:lineRule="auto"/>
        <w:jc w:val="center"/>
        <w:rPr>
          <w:b/>
          <w:color w:val="auto"/>
          <w:sz w:val="36"/>
          <w:szCs w:val="36"/>
        </w:rPr>
      </w:pPr>
      <w:r>
        <w:rPr>
          <w:b/>
          <w:color w:val="auto"/>
          <w:sz w:val="36"/>
          <w:szCs w:val="36"/>
        </w:rPr>
        <w:t>编制说明</w:t>
      </w:r>
    </w:p>
    <w:p w14:paraId="4C7663E5">
      <w:pPr>
        <w:spacing w:before="120" w:beforeLines="50" w:after="120" w:afterLines="50" w:line="360" w:lineRule="auto"/>
        <w:ind w:firstLine="640" w:firstLineChars="200"/>
        <w:jc w:val="left"/>
        <w:outlineLvl w:val="0"/>
        <w:rPr>
          <w:rFonts w:ascii="Times New Roman" w:hAnsi="Times New Roman" w:eastAsia="黑体" w:cs="Times New Roman"/>
          <w:b/>
          <w:bCs/>
          <w:color w:val="auto"/>
          <w:sz w:val="32"/>
          <w:szCs w:val="32"/>
        </w:rPr>
      </w:pPr>
      <w:bookmarkStart w:id="10" w:name="_Toc17008"/>
      <w:bookmarkStart w:id="11" w:name="_Toc21169"/>
      <w:bookmarkStart w:id="12" w:name="_Toc11036"/>
      <w:bookmarkStart w:id="13" w:name="_Toc24669"/>
      <w:bookmarkStart w:id="14" w:name="OLE_LINK5"/>
      <w:bookmarkStart w:id="15" w:name="_Toc8137"/>
      <w:bookmarkStart w:id="16" w:name="_Toc276735744"/>
      <w:bookmarkStart w:id="17" w:name="_Toc5347"/>
      <w:bookmarkStart w:id="18" w:name="_Toc26125"/>
      <w:bookmarkStart w:id="19" w:name="_Toc28914"/>
      <w:r>
        <w:rPr>
          <w:rFonts w:hint="eastAsia" w:ascii="黑体" w:hAnsi="黑体" w:eastAsia="黑体" w:cs="黑体"/>
          <w:color w:val="auto"/>
          <w:sz w:val="32"/>
          <w:szCs w:val="32"/>
        </w:rPr>
        <w:t>一、任务来源</w:t>
      </w:r>
      <w:bookmarkEnd w:id="10"/>
      <w:bookmarkEnd w:id="11"/>
      <w:bookmarkEnd w:id="12"/>
      <w:bookmarkEnd w:id="13"/>
      <w:bookmarkEnd w:id="14"/>
      <w:bookmarkEnd w:id="15"/>
      <w:bookmarkEnd w:id="16"/>
      <w:bookmarkEnd w:id="17"/>
      <w:bookmarkEnd w:id="18"/>
      <w:bookmarkEnd w:id="19"/>
    </w:p>
    <w:p w14:paraId="5D94B247">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eastAsia="仿宋" w:cs="Times New Roman"/>
          <w:color w:val="auto"/>
          <w:sz w:val="30"/>
          <w:szCs w:val="30"/>
          <w:lang w:val="en-US" w:eastAsia="zh-CN"/>
        </w:rPr>
      </w:pPr>
      <w:bookmarkStart w:id="20" w:name="_Toc8613"/>
      <w:bookmarkStart w:id="21" w:name="_Toc276735746"/>
      <w:r>
        <w:rPr>
          <w:rFonts w:hint="eastAsia" w:eastAsia="仿宋" w:cs="Times New Roman"/>
          <w:color w:val="auto"/>
          <w:sz w:val="30"/>
          <w:szCs w:val="30"/>
          <w:lang w:val="en-US" w:eastAsia="zh-CN"/>
        </w:rPr>
        <w:t>随着我国工业化、城镇化和产业集聚化发展不断推进，工业园区已成为工业生产活动的重要空间载体。工业园区在促进产业集聚、提高资源利用效率和提升环境基础设施集中化水平方面发挥了重要作用，但由于园区内企业类型多、生产工艺复杂、异味源分布广、公共设施集中、园区边界与周边敏感目标关系复杂，恶臭异味污染问题在部分园区逐步凸显，成为影响公众环境感受、园区绿色发展和区域社会稳定的重要环境问题。</w:t>
      </w:r>
    </w:p>
    <w:p w14:paraId="651834C2">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eastAsia="仿宋" w:cs="Times New Roman"/>
          <w:color w:val="auto"/>
          <w:sz w:val="30"/>
          <w:szCs w:val="30"/>
          <w:lang w:val="en-US" w:eastAsia="zh-CN"/>
        </w:rPr>
      </w:pPr>
      <w:r>
        <w:rPr>
          <w:rFonts w:hint="eastAsia" w:eastAsia="仿宋" w:cs="Times New Roman"/>
          <w:color w:val="auto"/>
          <w:sz w:val="30"/>
          <w:szCs w:val="30"/>
          <w:lang w:val="en-US" w:eastAsia="zh-CN"/>
        </w:rPr>
        <w:t>与单个工业企业相比，园区异味污染具有更加复杂的系统特征。一是异味来源更复杂，既包括园区内企业生产装置、储存设施、装卸转运、废水处理、固体废物和危险废物贮存等环节，也包括集中污水处理设施、污泥处理或暂存设施、固体废物和危险废物集中贮存或转运设施、公共管廊、泵站、检查井、事故应急池等公共异味源。二是异味影响更容易出现多源叠加，不同企业低浓度排放、公共设施无组织逸散和非正常工况短时排放，可能在不利气象条件下形成复合异味影响。三是投诉溯源难度更高，园区异味投诉往往涉及多个企业、公共设施和不同管理责任主体，仅依靠单个企业排查难以快速判断异味来源和责任边界。四是园区治理更依赖统筹协调，需要园区管理机构、运营管理单位、园区内企业、公共设施运营单位及相关管理主体共同参与，形成监测预警、信息通报、投诉溯源和联防联控机制。</w:t>
      </w:r>
    </w:p>
    <w:p w14:paraId="52A50CAD">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eastAsia="仿宋" w:cs="Times New Roman"/>
          <w:color w:val="auto"/>
          <w:sz w:val="30"/>
          <w:szCs w:val="30"/>
          <w:lang w:val="en-US" w:eastAsia="zh-CN"/>
        </w:rPr>
      </w:pPr>
      <w:r>
        <w:rPr>
          <w:rFonts w:hint="eastAsia" w:eastAsia="仿宋" w:cs="Times New Roman"/>
          <w:color w:val="auto"/>
          <w:sz w:val="30"/>
          <w:szCs w:val="30"/>
          <w:lang w:val="en-US" w:eastAsia="zh-CN"/>
        </w:rPr>
        <w:t>近年来，国家对恶臭异味污染治理提出了明确要求。2023年12月，中共中央、国务院印发《关于全面推进美丽中国建设的意见》，提出持续深入打好蓝天保卫战，强化挥发性有机物综合治理，着力解决恶臭、餐饮油烟等污染问题。国务院印发的《空气质量持续改善行动计划》进一步提出，开展餐饮油烟、恶臭异味专项治理，对群众反映强烈的恶臭异味扰民问题加强排查整治，投诉集中的工业园区、重点企业要安装运行在线监测系统，并推进致臭物质识别、恶臭污染评估和溯源技术方法研究。</w:t>
      </w:r>
    </w:p>
    <w:p w14:paraId="4153D8EF">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eastAsia="仿宋" w:cs="Times New Roman"/>
          <w:color w:val="auto"/>
          <w:sz w:val="30"/>
          <w:szCs w:val="30"/>
          <w:lang w:val="en-US" w:eastAsia="zh-CN"/>
        </w:rPr>
      </w:pPr>
      <w:r>
        <w:rPr>
          <w:rFonts w:hint="eastAsia" w:eastAsia="仿宋" w:cs="Times New Roman"/>
          <w:color w:val="auto"/>
          <w:sz w:val="30"/>
          <w:szCs w:val="30"/>
          <w:lang w:val="en-US" w:eastAsia="zh-CN"/>
        </w:rPr>
        <w:t>目前，我国已发布《恶臭污染物排放标准》（GB 14554）、《恶臭污染环境监测技术规范》（HJ 905）、《大气污染物无组织排放监测技术导则》（HJ/T 55）、《泄漏和敞开液面排放的挥发性有机物检测技术导则》（HJ 733）、《工业企业挥发性有机物泄漏检测与修复技术指南》（HJ 1230）等标准规范，为恶臭污染物排放控制、监测和部分涉VOCs环节管理提供了依据。同时，《无异味工厂创建技术指南》为单个工业企业开展异味污染全过程管控提供了技术支撑。但从园区尺度看，现有标准和技术文件仍缺少面向工业园区及产业集聚区的系统性创建指南，难以完整支撑园区开展异味源清单化管理、公共异味源管控、园区边界监测、投诉溯源、异常工况联防联控和园区级异味管理计划建设。</w:t>
      </w:r>
    </w:p>
    <w:p w14:paraId="3AA38EB6">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eastAsia="仿宋" w:cs="Times New Roman"/>
          <w:color w:val="auto"/>
          <w:sz w:val="30"/>
          <w:szCs w:val="30"/>
          <w:lang w:val="en-US" w:eastAsia="zh-CN"/>
        </w:rPr>
      </w:pPr>
      <w:r>
        <w:rPr>
          <w:rFonts w:hint="eastAsia" w:eastAsia="仿宋" w:cs="Times New Roman"/>
          <w:color w:val="auto"/>
          <w:sz w:val="30"/>
          <w:szCs w:val="30"/>
          <w:lang w:val="en-US" w:eastAsia="zh-CN"/>
        </w:rPr>
        <w:t>为贯彻落实国家关于深入打好蓝天保卫战、解决群众身边突出生态环境问题和推进美丽中国建设的有关要求，规范和引导工业园区及其他产业集聚区开展无异味园区创建工作，中华环保联合会组织有关科研院所、行业专家、技术机构、园区管理单位和重点企业代表，开展《无异味园区创建技术指南》团体标准编制工作。本文件旨在为园区识别异味源、开展风险分级、管控重点企业和公共异味源、建设边界监测与预警体系、建立投诉溯源和联防联控机制、编制园区异味管理计划（P-OMP）提供技术支撑。</w:t>
      </w:r>
    </w:p>
    <w:p w14:paraId="49E80B2B">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ascii="Times New Roman" w:hAnsi="Times New Roman" w:eastAsia="仿宋" w:cs="Times New Roman"/>
          <w:color w:val="auto"/>
          <w:sz w:val="30"/>
          <w:szCs w:val="30"/>
          <w:lang w:val="en-US" w:eastAsia="zh-CN"/>
        </w:rPr>
      </w:pPr>
      <w:r>
        <w:rPr>
          <w:rFonts w:hint="eastAsia" w:eastAsia="仿宋" w:cs="Times New Roman"/>
          <w:color w:val="auto"/>
          <w:sz w:val="30"/>
          <w:szCs w:val="30"/>
          <w:lang w:val="en-US" w:eastAsia="zh-CN"/>
        </w:rPr>
        <w:t>需要说明的是，本标准主要面向工业园区及其他产业集聚区开展无异味园区创建，重点解决园区尺度的统筹管理、公共异味源管控、园区边界监测预警、投诉溯源和联防联控问题。园区内企业开展无异味工厂创建，可参照《无异味工厂创建技术指南》执行。两个标准共同构成无异味创建系列技术指南，其中工厂指南侧重企业内部全过程管控，园区指南侧重园区层面的协同治理和统筹管理</w:t>
      </w:r>
      <w:r>
        <w:rPr>
          <w:rFonts w:hint="eastAsia" w:ascii="Times New Roman" w:hAnsi="Times New Roman" w:eastAsia="仿宋" w:cs="Times New Roman"/>
          <w:color w:val="auto"/>
          <w:sz w:val="30"/>
          <w:szCs w:val="30"/>
          <w:lang w:val="en-US" w:eastAsia="zh-CN"/>
        </w:rPr>
        <w:t>。</w:t>
      </w:r>
    </w:p>
    <w:p w14:paraId="0EEC374F">
      <w:pPr>
        <w:spacing w:line="360" w:lineRule="auto"/>
        <w:ind w:firstLine="640" w:firstLineChars="200"/>
        <w:jc w:val="left"/>
        <w:outlineLvl w:val="0"/>
        <w:rPr>
          <w:rFonts w:ascii="黑体" w:hAnsi="黑体" w:eastAsia="黑体" w:cs="黑体"/>
          <w:color w:val="auto"/>
          <w:sz w:val="32"/>
          <w:szCs w:val="32"/>
        </w:rPr>
      </w:pPr>
      <w:bookmarkStart w:id="22" w:name="_Toc28090"/>
      <w:bookmarkStart w:id="23" w:name="_Toc2196"/>
      <w:bookmarkStart w:id="24" w:name="_Toc11346"/>
      <w:bookmarkStart w:id="25" w:name="_Toc14185"/>
      <w:bookmarkStart w:id="26" w:name="_Toc20383"/>
      <w:bookmarkStart w:id="27" w:name="_Toc9081"/>
      <w:bookmarkStart w:id="28" w:name="_Toc30159"/>
      <w:r>
        <w:rPr>
          <w:rFonts w:hint="eastAsia" w:ascii="黑体" w:hAnsi="黑体" w:eastAsia="黑体" w:cs="黑体"/>
          <w:color w:val="auto"/>
          <w:sz w:val="32"/>
          <w:szCs w:val="32"/>
        </w:rPr>
        <w:t>二、标准编制目的和意义</w:t>
      </w:r>
      <w:bookmarkEnd w:id="22"/>
      <w:bookmarkEnd w:id="23"/>
      <w:bookmarkEnd w:id="24"/>
    </w:p>
    <w:bookmarkEnd w:id="25"/>
    <w:p w14:paraId="69FEFA6B">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ascii="仿宋" w:hAnsi="仿宋" w:eastAsia="仿宋" w:cs="仿宋"/>
          <w:color w:val="auto"/>
          <w:sz w:val="30"/>
          <w:szCs w:val="30"/>
          <w:lang w:val="en-US" w:eastAsia="zh-CN"/>
        </w:rPr>
      </w:pPr>
      <w:r>
        <w:rPr>
          <w:rFonts w:hint="default" w:ascii="Times New Roman" w:hAnsi="Times New Roman" w:eastAsia="仿宋" w:cs="Times New Roman"/>
          <w:color w:val="auto"/>
          <w:sz w:val="30"/>
          <w:szCs w:val="30"/>
          <w:lang w:val="en-US" w:eastAsia="zh-CN"/>
        </w:rPr>
        <w:t>本标准的编制目的，是建立一套适用于工业园区及其他产业集聚区无异味园区创</w:t>
      </w:r>
      <w:r>
        <w:rPr>
          <w:rFonts w:hint="eastAsia" w:ascii="仿宋" w:hAnsi="仿宋" w:eastAsia="仿宋" w:cs="仿宋"/>
          <w:color w:val="auto"/>
          <w:sz w:val="30"/>
          <w:szCs w:val="30"/>
          <w:lang w:val="en-US" w:eastAsia="zh-CN"/>
        </w:rPr>
        <w:t>建的技术指引体系，推动园区从“单个企业分散治理、投诉后被动处置”转向“园区统筹、源清单管理、公共异味源管控、边界监测预警、投诉溯源和联防联控”的系统治理模式。</w:t>
      </w:r>
    </w:p>
    <w:p w14:paraId="2318E646">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一是为园区摸清异味源底数和开展风险分级提供技术路径。园区异味污染来源广泛，既包括企业异味源，也包括公共异味源、园区边界重点区域和历史投诉关联区域。标准通过明确园区异味源、公共异味源、园区异味管理计划、异味溯源和联防联控等核心概念，引导园区建立异味源清单，识别重点涉异味企业、重点公共异味源、重点管控区域和重点监测区域。</w:t>
      </w:r>
    </w:p>
    <w:p w14:paraId="65EF4E58">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二是为园区统筹推进重点企业和公共异味源管控提供技术要求。单个企业治理是园区异味治理的基础，但园区异味问题并非企业治理的简单相加。标准既要求园区推动重点涉异味企业开展无异味工厂创建或落实等效异味管控要求，也将集中污水处理设施、污泥处理或暂存设施、固体废物和危险废物集中贮存或转运设施、公共管廊、泵站、检查井、事故应急池等纳入公共异味源管理，推动园区建立多主体协同治理体系。</w:t>
      </w:r>
    </w:p>
    <w:p w14:paraId="5B6230B3">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三是为园区建立边界监测、投诉溯源和联防联控机制提供支撑。园区异味投诉的关键难点在于来源复杂、责任边界不清和短时异常难以捕捉。标准提出园区边界监测、敏感目标侧巡查、特征异味污染物识别、气象信息分析、电子鼻或VOCs微站辅助预警、投诉溯源处置和异常工况联防联控等要求，提升园区发现问题、研判来源、组织处置和闭环整改的能力。</w:t>
      </w:r>
    </w:p>
    <w:p w14:paraId="123DCE3D">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四是为园区建立长效管理机制提供工具支撑。标准将园区异味管理计划（P-OMP）作为园区异味环境管理的纲领性文件，要求园区基于异味源清单、风险分级、重点企业、公共异味源、监测预警、投诉溯源、异常工况和公众沟通等信息，开展动态更新、自评审核和持续改进，推动园区异味管理从阶段性整治转向长期稳定运行。</w:t>
      </w:r>
    </w:p>
    <w:p w14:paraId="31563F99">
      <w:pPr>
        <w:keepNext w:val="0"/>
        <w:keepLines w:val="0"/>
        <w:pageBreakBefore w:val="0"/>
        <w:kinsoku/>
        <w:wordWrap/>
        <w:overflowPunct/>
        <w:topLinePunct w:val="0"/>
        <w:bidi w:val="0"/>
        <w:adjustRightInd/>
        <w:snapToGrid w:val="0"/>
        <w:spacing w:before="0" w:beforeLines="0" w:line="360" w:lineRule="auto"/>
        <w:ind w:firstLine="600" w:firstLineChars="200"/>
        <w:textAlignment w:val="auto"/>
        <w:rPr>
          <w:rFonts w:hint="default" w:ascii="Times New Roman" w:hAnsi="Times New Roman" w:eastAsia="仿宋" w:cs="Times New Roman"/>
          <w:color w:val="auto"/>
          <w:sz w:val="30"/>
          <w:szCs w:val="30"/>
          <w:lang w:val="en-US" w:eastAsia="zh-CN"/>
        </w:rPr>
      </w:pPr>
      <w:r>
        <w:rPr>
          <w:rFonts w:hint="eastAsia" w:ascii="仿宋" w:hAnsi="仿宋" w:eastAsia="仿宋" w:cs="仿宋"/>
          <w:color w:val="auto"/>
          <w:sz w:val="30"/>
          <w:szCs w:val="30"/>
          <w:lang w:val="en-US" w:eastAsia="zh-CN"/>
        </w:rPr>
        <w:t>五是为无异味园区创建提供统一参考。本标准为指导性文件，通过建设指标、指标解释和自评表，引导园区开展自我检查、问题识别、整改跟踪和持续改进，不作为无异味园区等级评价或认证认定的直接依据。该定位有助于在保持标准技术指导属性</w:t>
      </w:r>
      <w:r>
        <w:rPr>
          <w:rFonts w:hint="default" w:ascii="Times New Roman" w:hAnsi="Times New Roman" w:eastAsia="仿宋" w:cs="Times New Roman"/>
          <w:color w:val="auto"/>
          <w:sz w:val="30"/>
          <w:szCs w:val="30"/>
          <w:lang w:val="en-US" w:eastAsia="zh-CN"/>
        </w:rPr>
        <w:t>的前提下，推动园区主动提升异味污染协同治理和环境管理水平。</w:t>
      </w:r>
    </w:p>
    <w:p w14:paraId="1036756C">
      <w:pPr>
        <w:spacing w:line="360" w:lineRule="auto"/>
        <w:ind w:firstLine="640" w:firstLineChars="200"/>
        <w:jc w:val="left"/>
        <w:outlineLvl w:val="0"/>
        <w:rPr>
          <w:rFonts w:ascii="黑体" w:hAnsi="黑体" w:eastAsia="黑体" w:cs="黑体"/>
          <w:color w:val="auto"/>
          <w:sz w:val="32"/>
          <w:szCs w:val="32"/>
        </w:rPr>
      </w:pPr>
      <w:bookmarkStart w:id="29" w:name="_Toc160"/>
      <w:bookmarkStart w:id="30" w:name="_Toc6562"/>
      <w:bookmarkStart w:id="31" w:name="_Toc9516"/>
      <w:bookmarkStart w:id="32" w:name="_Toc32525"/>
      <w:r>
        <w:rPr>
          <w:rFonts w:hint="eastAsia" w:ascii="黑体" w:hAnsi="黑体" w:eastAsia="黑体" w:cs="黑体"/>
          <w:color w:val="auto"/>
          <w:sz w:val="32"/>
          <w:szCs w:val="32"/>
        </w:rPr>
        <w:t>三、编制过程</w:t>
      </w:r>
      <w:bookmarkEnd w:id="29"/>
      <w:bookmarkEnd w:id="30"/>
      <w:bookmarkEnd w:id="31"/>
    </w:p>
    <w:bookmarkEnd w:id="20"/>
    <w:bookmarkEnd w:id="21"/>
    <w:bookmarkEnd w:id="26"/>
    <w:bookmarkEnd w:id="27"/>
    <w:bookmarkEnd w:id="28"/>
    <w:bookmarkEnd w:id="32"/>
    <w:p w14:paraId="062B8ABC">
      <w:pPr>
        <w:pStyle w:val="45"/>
        <w:spacing w:line="360" w:lineRule="auto"/>
        <w:ind w:firstLine="480"/>
        <w:rPr>
          <w:rFonts w:hint="eastAsia" w:hAnsi="Times New Roman" w:eastAsia="仿宋" w:cs="Times New Roman"/>
          <w:color w:val="auto"/>
          <w:sz w:val="30"/>
          <w:szCs w:val="30"/>
          <w:highlight w:val="none"/>
          <w:lang w:val="en-US" w:eastAsia="zh-CN" w:bidi="ar"/>
        </w:rPr>
      </w:pPr>
      <w:r>
        <w:rPr>
          <w:rFonts w:hint="eastAsia" w:hAnsi="Times New Roman" w:eastAsia="仿宋" w:cs="Times New Roman"/>
          <w:color w:val="auto"/>
          <w:sz w:val="30"/>
          <w:szCs w:val="30"/>
          <w:highlight w:val="none"/>
          <w:lang w:val="en-US" w:eastAsia="zh-CN" w:bidi="ar"/>
        </w:rPr>
        <w:t>本标准编制工作坚持问题导向、系统导向和实用导向，主要经历了以下阶段。</w:t>
      </w:r>
    </w:p>
    <w:p w14:paraId="6E93920A">
      <w:pPr>
        <w:pStyle w:val="45"/>
        <w:spacing w:line="360" w:lineRule="auto"/>
        <w:ind w:firstLine="480"/>
        <w:rPr>
          <w:rFonts w:hint="eastAsia" w:hAnsi="Times New Roman" w:eastAsia="仿宋" w:cs="Times New Roman"/>
          <w:color w:val="auto"/>
          <w:sz w:val="30"/>
          <w:szCs w:val="30"/>
          <w:highlight w:val="none"/>
          <w:lang w:val="en-US" w:eastAsia="zh-CN" w:bidi="ar"/>
        </w:rPr>
      </w:pPr>
      <w:r>
        <w:rPr>
          <w:rFonts w:hint="eastAsia" w:hAnsi="Times New Roman" w:eastAsia="仿宋" w:cs="Times New Roman"/>
          <w:color w:val="auto"/>
          <w:sz w:val="30"/>
          <w:szCs w:val="30"/>
          <w:highlight w:val="none"/>
          <w:lang w:val="en-US" w:eastAsia="zh-CN" w:bidi="ar"/>
        </w:rPr>
        <w:t>（一）前期调研与资料研究阶段</w:t>
      </w:r>
    </w:p>
    <w:p w14:paraId="3AC569E5">
      <w:pPr>
        <w:pStyle w:val="45"/>
        <w:spacing w:line="360" w:lineRule="auto"/>
        <w:ind w:firstLine="480"/>
        <w:rPr>
          <w:rFonts w:hint="eastAsia" w:hAnsi="Times New Roman" w:eastAsia="仿宋" w:cs="Times New Roman"/>
          <w:color w:val="auto"/>
          <w:sz w:val="30"/>
          <w:szCs w:val="30"/>
          <w:highlight w:val="none"/>
          <w:lang w:val="en-US" w:eastAsia="zh-CN" w:bidi="ar"/>
        </w:rPr>
      </w:pPr>
      <w:r>
        <w:rPr>
          <w:rFonts w:hint="eastAsia" w:hAnsi="Times New Roman" w:eastAsia="仿宋" w:cs="Times New Roman"/>
          <w:color w:val="auto"/>
          <w:sz w:val="30"/>
          <w:szCs w:val="30"/>
          <w:highlight w:val="none"/>
          <w:lang w:val="en-US" w:eastAsia="zh-CN" w:bidi="ar"/>
        </w:rPr>
        <w:t>编制组系统梳理了国内恶臭异味污染防控相关法律法规、政策文件、标准规范和技术资料，重点研究了恶臭污染物排放、恶臭监测、无组织排放监测、VOCs泄漏检测与修复、园区环境管理、投诉溯源和异味管理计划等相关内容。同时，编制组跟踪分析了国内外异味管理、Odor Management Plan（OMP）、源—路径—受体风险评估、边界监测、公众投诉响应、异常工况管理和持续改进等方面的经验，为标准框架设计提供参考。</w:t>
      </w:r>
    </w:p>
    <w:p w14:paraId="53ECD2E6">
      <w:pPr>
        <w:pStyle w:val="45"/>
        <w:spacing w:line="360" w:lineRule="auto"/>
        <w:ind w:firstLine="480"/>
        <w:rPr>
          <w:rFonts w:hint="eastAsia" w:hAnsi="Times New Roman" w:eastAsia="仿宋" w:cs="Times New Roman"/>
          <w:color w:val="auto"/>
          <w:sz w:val="30"/>
          <w:szCs w:val="30"/>
          <w:highlight w:val="none"/>
          <w:lang w:val="en-US" w:eastAsia="zh-CN" w:bidi="ar"/>
        </w:rPr>
      </w:pPr>
      <w:r>
        <w:rPr>
          <w:rFonts w:hint="eastAsia" w:hAnsi="Times New Roman" w:eastAsia="仿宋" w:cs="Times New Roman"/>
          <w:color w:val="auto"/>
          <w:sz w:val="30"/>
          <w:szCs w:val="30"/>
          <w:highlight w:val="none"/>
          <w:lang w:val="en-US" w:eastAsia="zh-CN" w:bidi="ar"/>
        </w:rPr>
        <w:t>（二）园区调研和问题梳理阶段</w:t>
      </w:r>
    </w:p>
    <w:p w14:paraId="7F7C1559">
      <w:pPr>
        <w:pStyle w:val="45"/>
        <w:spacing w:line="360" w:lineRule="auto"/>
        <w:ind w:firstLine="480"/>
        <w:rPr>
          <w:rFonts w:hint="eastAsia" w:hAnsi="Times New Roman" w:eastAsia="仿宋" w:cs="Times New Roman"/>
          <w:color w:val="auto"/>
          <w:sz w:val="30"/>
          <w:szCs w:val="30"/>
          <w:highlight w:val="none"/>
          <w:lang w:val="en-US" w:eastAsia="zh-CN" w:bidi="ar"/>
        </w:rPr>
      </w:pPr>
      <w:r>
        <w:rPr>
          <w:rFonts w:hint="eastAsia" w:hAnsi="Times New Roman" w:eastAsia="仿宋" w:cs="Times New Roman"/>
          <w:color w:val="auto"/>
          <w:sz w:val="30"/>
          <w:szCs w:val="30"/>
          <w:highlight w:val="none"/>
          <w:lang w:val="en-US" w:eastAsia="zh-CN" w:bidi="ar"/>
        </w:rPr>
        <w:t>编制组围绕化工、制药、工业涂装、包装印刷、食品加工、污水处理、固体废物和危险废物贮存处置等典型涉异味行业集聚区域，梳理了园区异味污染的主要来源、空间分布、公共设施风险、边界敏感目标、投诉特点和治理难点。调研发现，部分园区存在异味源底数不清、重点企业和公共异味源责任边界不明、园区边界监测能力不足、投诉溯源机制不完善、公共污水处理和固废危废转运等环节异味风险突出、异常工况信息通报和联动处置不足等问题，亟需通过标准化文件提供系统指引。</w:t>
      </w:r>
    </w:p>
    <w:p w14:paraId="03E1B407">
      <w:pPr>
        <w:pStyle w:val="45"/>
        <w:spacing w:line="360" w:lineRule="auto"/>
        <w:ind w:firstLine="480"/>
        <w:rPr>
          <w:rFonts w:hint="eastAsia" w:hAnsi="Times New Roman" w:eastAsia="仿宋" w:cs="Times New Roman"/>
          <w:color w:val="auto"/>
          <w:sz w:val="30"/>
          <w:szCs w:val="30"/>
          <w:highlight w:val="none"/>
          <w:lang w:val="en-US" w:eastAsia="zh-CN" w:bidi="ar"/>
        </w:rPr>
      </w:pPr>
      <w:r>
        <w:rPr>
          <w:rFonts w:hint="eastAsia" w:hAnsi="Times New Roman" w:eastAsia="仿宋" w:cs="Times New Roman"/>
          <w:color w:val="auto"/>
          <w:sz w:val="30"/>
          <w:szCs w:val="30"/>
          <w:highlight w:val="none"/>
          <w:lang w:val="en-US" w:eastAsia="zh-CN" w:bidi="ar"/>
        </w:rPr>
        <w:t>（三）标准框架设计和文本起草阶段</w:t>
      </w:r>
    </w:p>
    <w:p w14:paraId="38E61EEE">
      <w:pPr>
        <w:pStyle w:val="45"/>
        <w:spacing w:line="360" w:lineRule="auto"/>
        <w:ind w:firstLine="480"/>
        <w:rPr>
          <w:rFonts w:hint="eastAsia" w:hAnsi="Times New Roman" w:eastAsia="仿宋" w:cs="Times New Roman"/>
          <w:color w:val="auto"/>
          <w:sz w:val="30"/>
          <w:szCs w:val="30"/>
          <w:highlight w:val="none"/>
          <w:lang w:val="en-US" w:eastAsia="zh-CN" w:bidi="ar"/>
        </w:rPr>
      </w:pPr>
      <w:r>
        <w:rPr>
          <w:rFonts w:hint="eastAsia" w:hAnsi="Times New Roman" w:eastAsia="仿宋" w:cs="Times New Roman"/>
          <w:color w:val="auto"/>
          <w:sz w:val="30"/>
          <w:szCs w:val="30"/>
          <w:highlight w:val="none"/>
          <w:lang w:val="en-US" w:eastAsia="zh-CN" w:bidi="ar"/>
        </w:rPr>
        <w:t>在前期资料研究和园区调研基础上，编制组明确本标准定位为无异味园区创建技术指南，而非评价认证规范。标准文本围绕范围、规范性引用文件、术语和定义、总体要求、无异味园区创建要求、建设指标和资料性附录进行设计，确立了“园区统筹—源清单管理—重点企业管控—公共异味源管理—边界监测预警—投诉溯源处置—异常工况联防联控—P-OMP持续改进”的总体技术路线，形成标准初稿。</w:t>
      </w:r>
    </w:p>
    <w:p w14:paraId="64A1B983">
      <w:pPr>
        <w:pStyle w:val="45"/>
        <w:spacing w:line="360" w:lineRule="auto"/>
        <w:ind w:firstLine="480"/>
        <w:rPr>
          <w:rFonts w:hint="eastAsia" w:hAnsi="Times New Roman" w:eastAsia="仿宋" w:cs="Times New Roman"/>
          <w:color w:val="auto"/>
          <w:sz w:val="30"/>
          <w:szCs w:val="30"/>
          <w:highlight w:val="none"/>
          <w:lang w:val="en-US" w:eastAsia="zh-CN" w:bidi="ar"/>
        </w:rPr>
      </w:pPr>
      <w:r>
        <w:rPr>
          <w:rFonts w:hint="eastAsia" w:hAnsi="Times New Roman" w:eastAsia="仿宋" w:cs="Times New Roman"/>
          <w:color w:val="auto"/>
          <w:sz w:val="30"/>
          <w:szCs w:val="30"/>
          <w:highlight w:val="none"/>
          <w:lang w:val="en-US" w:eastAsia="zh-CN" w:bidi="ar"/>
        </w:rPr>
        <w:t>（四）专家研讨和修改完善阶段</w:t>
      </w:r>
    </w:p>
    <w:p w14:paraId="3394B3D7">
      <w:pPr>
        <w:pStyle w:val="45"/>
        <w:spacing w:line="360" w:lineRule="auto"/>
        <w:ind w:firstLine="480"/>
        <w:rPr>
          <w:rFonts w:hint="eastAsia" w:hAnsi="Times New Roman" w:eastAsia="仿宋" w:cs="Times New Roman"/>
          <w:color w:val="auto"/>
          <w:sz w:val="30"/>
          <w:szCs w:val="30"/>
          <w:highlight w:val="none"/>
          <w:lang w:val="en-US" w:eastAsia="zh-CN" w:bidi="ar"/>
        </w:rPr>
      </w:pPr>
      <w:r>
        <w:rPr>
          <w:rFonts w:hint="eastAsia" w:hAnsi="Times New Roman" w:eastAsia="仿宋" w:cs="Times New Roman"/>
          <w:color w:val="auto"/>
          <w:sz w:val="30"/>
          <w:szCs w:val="30"/>
          <w:highlight w:val="none"/>
          <w:lang w:val="en-US" w:eastAsia="zh-CN" w:bidi="ar"/>
        </w:rPr>
        <w:t>编制组组织开展多轮内部讨论、专家咨询和文本修改，对“无异味园区”的内涵边界、园区与企业责任分工、公共异味源管控、园区异味源风险分级、P-OMP编制框架、建设指标属性以及与《无异味工厂创建技术指南》的衔接关系等关键问题进行反复论证。重点对标准的指导性定位、资料性附录属性、建设指标边界以及与现行法律法规和相关标准的关系进行了校核，避免将本标准编制成评价认证规则或行政监管办法。</w:t>
      </w:r>
    </w:p>
    <w:p w14:paraId="75B350F0">
      <w:pPr>
        <w:pStyle w:val="45"/>
        <w:spacing w:line="360" w:lineRule="auto"/>
        <w:ind w:firstLine="480"/>
        <w:rPr>
          <w:rFonts w:hint="eastAsia" w:hAnsi="Times New Roman" w:eastAsia="仿宋" w:cs="Times New Roman"/>
          <w:color w:val="auto"/>
          <w:sz w:val="30"/>
          <w:szCs w:val="30"/>
          <w:highlight w:val="none"/>
          <w:lang w:val="en-US" w:eastAsia="zh-CN" w:bidi="ar"/>
        </w:rPr>
      </w:pPr>
      <w:r>
        <w:rPr>
          <w:rFonts w:hint="eastAsia" w:hAnsi="Times New Roman" w:eastAsia="仿宋" w:cs="Times New Roman"/>
          <w:color w:val="auto"/>
          <w:sz w:val="30"/>
          <w:szCs w:val="30"/>
          <w:highlight w:val="none"/>
          <w:lang w:val="en-US" w:eastAsia="zh-CN" w:bidi="ar"/>
        </w:rPr>
        <w:t>（五）征求意见稿形成阶段</w:t>
      </w:r>
    </w:p>
    <w:p w14:paraId="25B8C733">
      <w:pPr>
        <w:pStyle w:val="45"/>
        <w:spacing w:line="360" w:lineRule="auto"/>
        <w:ind w:firstLine="480"/>
        <w:rPr>
          <w:rFonts w:hint="default" w:hAnsi="Times New Roman" w:eastAsia="仿宋" w:cs="Times New Roman"/>
          <w:color w:val="auto"/>
          <w:sz w:val="30"/>
          <w:szCs w:val="30"/>
          <w:highlight w:val="none"/>
          <w:lang w:bidi="ar"/>
        </w:rPr>
      </w:pPr>
      <w:r>
        <w:rPr>
          <w:rFonts w:hint="eastAsia" w:hAnsi="Times New Roman" w:eastAsia="仿宋" w:cs="Times New Roman"/>
          <w:color w:val="auto"/>
          <w:sz w:val="30"/>
          <w:szCs w:val="30"/>
          <w:highlight w:val="none"/>
          <w:lang w:val="en-US" w:eastAsia="zh-CN" w:bidi="ar"/>
        </w:rPr>
        <w:t>经多轮修改完善，标准文本进一步明确了“无异味园区创建不表示园区在任何区域、任何时间和任何气象条件下均无气味感知，而是指园区通过系统治理和长效管理，使园区异味污染风险得到有效识别、控制、监测、评估、溯源和持续改进”的基本内涵，形成《无异味园区创建技术指南（征求意见稿）》及编制说明</w:t>
      </w:r>
      <w:r>
        <w:rPr>
          <w:rFonts w:hint="default" w:hAnsi="Times New Roman" w:eastAsia="仿宋" w:cs="Times New Roman"/>
          <w:color w:val="auto"/>
          <w:sz w:val="30"/>
          <w:szCs w:val="30"/>
          <w:highlight w:val="none"/>
          <w:lang w:bidi="ar"/>
        </w:rPr>
        <w:t>。</w:t>
      </w:r>
    </w:p>
    <w:p w14:paraId="5064A0E1">
      <w:pPr>
        <w:spacing w:line="360" w:lineRule="auto"/>
        <w:ind w:firstLine="640" w:firstLineChars="200"/>
        <w:jc w:val="left"/>
        <w:outlineLvl w:val="0"/>
        <w:rPr>
          <w:rFonts w:hint="eastAsia" w:ascii="黑体" w:hAnsi="黑体" w:eastAsia="黑体" w:cs="黑体"/>
          <w:color w:val="auto"/>
          <w:sz w:val="32"/>
          <w:szCs w:val="32"/>
        </w:rPr>
      </w:pPr>
      <w:bookmarkStart w:id="33" w:name="_Toc18077"/>
      <w:bookmarkStart w:id="34" w:name="_Toc7949"/>
      <w:bookmarkStart w:id="35" w:name="_Toc21854"/>
      <w:r>
        <w:rPr>
          <w:rFonts w:hint="eastAsia" w:ascii="黑体" w:hAnsi="黑体" w:eastAsia="黑体" w:cs="黑体"/>
          <w:color w:val="auto"/>
          <w:sz w:val="32"/>
          <w:szCs w:val="32"/>
        </w:rPr>
        <w:t>四、编制原则</w:t>
      </w:r>
      <w:bookmarkEnd w:id="33"/>
      <w:bookmarkEnd w:id="34"/>
      <w:bookmarkEnd w:id="35"/>
    </w:p>
    <w:p w14:paraId="313FFBAD">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（一）科学性原则</w:t>
      </w:r>
    </w:p>
    <w:p w14:paraId="6EE27CF6">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标准编制充分衔接现行恶臭污染物排放、恶臭监测、无组织排放监测、VOCs泄漏检测与修复等相关标准规范，避免与现行强制性标准和管理要求相冲突。标准内容以园区异味源识别、风险分级、边界监测、投诉溯源、公共异味源管控和P-OMP持续改进为技术主线，体现园区异味污染防控的系统规律。</w:t>
      </w:r>
    </w:p>
    <w:p w14:paraId="33B5D40E">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（二）统筹性原则</w:t>
      </w:r>
    </w:p>
    <w:p w14:paraId="7823DF6B">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园区异味治理的关键在于统筹。标准强调园区管理机构或运营管理单位在创建过程中的组织协调作用，明确园区内企业、公共设施运营单位和相关管理主体的职责边界，推动重点企业治理、公共异味源管理、园区边界监测、投诉溯源和联防联控协同推进。</w:t>
      </w:r>
    </w:p>
    <w:p w14:paraId="6FD4ACCD">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（三）系统性原则</w:t>
      </w:r>
    </w:p>
    <w:p w14:paraId="544351CA">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标准不是单一监测或治理技术规范，而是面向无异味园区创建的系统性技术指南。标准将规划布局、异味源清单、风险分级、重点企业管控、公共异味源管理、废水固废危废协同管控、边界监测预警、投诉溯源、异常工况联防联控、P-OMP和公众沟通纳入统一框架，形成园区尺度的异味污染协同治理体系。</w:t>
      </w:r>
    </w:p>
    <w:p w14:paraId="1073B2BB">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（四）适用性原则</w:t>
      </w:r>
    </w:p>
    <w:p w14:paraId="168C5514">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标准充分考虑不同类型、不同规模、不同产业结构和不同管理基础园区的差异，不以单一园区类型或单一治理模式作为统一模板。对涉及园区类型差异、公共设施配置、管理边界、信息化基础和客观条件的要求，采用</w:t>
      </w:r>
      <w:r>
        <w:rPr>
          <w:rFonts w:hint="eastAsia" w:ascii="仿宋" w:hAnsi="仿宋" w:eastAsia="仿宋" w:cs="仿宋"/>
          <w:color w:val="auto"/>
          <w:sz w:val="30"/>
          <w:szCs w:val="30"/>
          <w:highlight w:val="none"/>
          <w:lang w:val="en-US" w:eastAsia="zh-CN" w:bidi="ar"/>
        </w:rPr>
        <w:t>“应”“宜”“可”等不</w:t>
      </w:r>
      <w:r>
        <w:rPr>
          <w:rFonts w:hint="default" w:hAnsi="Times New Roman" w:eastAsia="仿宋" w:cs="Times New Roman"/>
          <w:color w:val="auto"/>
          <w:sz w:val="30"/>
          <w:szCs w:val="30"/>
          <w:highlight w:val="none"/>
          <w:lang w:val="en-US" w:eastAsia="zh-CN" w:bidi="ar"/>
        </w:rPr>
        <w:t>同层级表述，兼顾先进性和可操作性。</w:t>
      </w:r>
    </w:p>
    <w:p w14:paraId="080B8BFB">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（五）指导性原则</w:t>
      </w:r>
    </w:p>
    <w:p w14:paraId="51F849F8">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本标准为指导性文件，建设指标和自评表用于指导园区开展创建、自评和持续改进，不作为无异味园区等级评价</w:t>
      </w:r>
      <w:r>
        <w:rPr>
          <w:rFonts w:hint="eastAsia" w:hAnsi="Times New Roman" w:eastAsia="仿宋" w:cs="Times New Roman"/>
          <w:color w:val="auto"/>
          <w:sz w:val="30"/>
          <w:szCs w:val="30"/>
          <w:highlight w:val="none"/>
          <w:lang w:val="en-US" w:eastAsia="zh-CN" w:bidi="ar"/>
        </w:rPr>
        <w:t>或</w:t>
      </w:r>
      <w:r>
        <w:rPr>
          <w:rFonts w:hint="default" w:hAnsi="Times New Roman" w:eastAsia="仿宋" w:cs="Times New Roman"/>
          <w:color w:val="auto"/>
          <w:sz w:val="30"/>
          <w:szCs w:val="30"/>
          <w:highlight w:val="none"/>
          <w:lang w:val="en-US" w:eastAsia="zh-CN" w:bidi="ar"/>
        </w:rPr>
        <w:t>认证认定的直接依据。标准强调通过自我检查、问题识别、整改提升和P-OMP动态更新，推动园区持续提升异味污染协同治理水平。</w:t>
      </w:r>
    </w:p>
    <w:p w14:paraId="57DFA720">
      <w:pPr>
        <w:pStyle w:val="45"/>
        <w:spacing w:line="360" w:lineRule="auto"/>
        <w:ind w:firstLine="480"/>
        <w:rPr>
          <w:rFonts w:hint="default"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（六）协同性原则</w:t>
      </w:r>
    </w:p>
    <w:p w14:paraId="01A798E0">
      <w:pPr>
        <w:pStyle w:val="45"/>
        <w:spacing w:line="360" w:lineRule="auto"/>
        <w:ind w:firstLine="600" w:firstLineChars="200"/>
        <w:rPr>
          <w:rFonts w:hint="eastAsia" w:hAnsi="Times New Roman" w:eastAsia="仿宋" w:cs="Times New Roman"/>
          <w:color w:val="auto"/>
          <w:sz w:val="30"/>
          <w:szCs w:val="30"/>
          <w:highlight w:val="none"/>
          <w:lang w:val="en-US" w:eastAsia="zh-CN" w:bidi="ar"/>
        </w:rPr>
      </w:pPr>
      <w:r>
        <w:rPr>
          <w:rFonts w:hint="default" w:hAnsi="Times New Roman" w:eastAsia="仿宋" w:cs="Times New Roman"/>
          <w:color w:val="auto"/>
          <w:sz w:val="30"/>
          <w:szCs w:val="30"/>
          <w:highlight w:val="none"/>
          <w:lang w:val="en-US" w:eastAsia="zh-CN" w:bidi="ar"/>
        </w:rPr>
        <w:t>标准强调园区管理机构、园区内企业、公共设施运营单位、属地管理部门、技术服务机构和周边公众等多方协同参与，注重信息通报、投诉响应、公众沟通和持续改进，推动形成园区统筹、企业履责、公共设施规范运行、公众参与监督的异味污染防控格局。</w:t>
      </w:r>
    </w:p>
    <w:p w14:paraId="31DA0727">
      <w:pPr>
        <w:numPr>
          <w:ilvl w:val="0"/>
          <w:numId w:val="7"/>
        </w:numPr>
        <w:spacing w:line="360" w:lineRule="auto"/>
        <w:ind w:firstLine="640" w:firstLineChars="200"/>
        <w:jc w:val="left"/>
        <w:outlineLvl w:val="0"/>
        <w:rPr>
          <w:rFonts w:hint="eastAsia" w:ascii="黑体" w:hAnsi="黑体" w:eastAsia="黑体" w:cs="黑体"/>
          <w:color w:val="auto"/>
          <w:sz w:val="32"/>
          <w:szCs w:val="32"/>
        </w:rPr>
      </w:pPr>
      <w:bookmarkStart w:id="36" w:name="_Toc22411"/>
      <w:bookmarkStart w:id="37" w:name="_Toc11818"/>
      <w:bookmarkStart w:id="38" w:name="_Toc17025"/>
      <w:r>
        <w:rPr>
          <w:rFonts w:hint="eastAsia" w:ascii="黑体" w:hAnsi="黑体" w:eastAsia="黑体" w:cs="黑体"/>
          <w:color w:val="auto"/>
          <w:sz w:val="32"/>
          <w:szCs w:val="32"/>
        </w:rPr>
        <w:t>标准的主要技术内容</w:t>
      </w:r>
      <w:bookmarkEnd w:id="36"/>
      <w:bookmarkEnd w:id="37"/>
      <w:bookmarkEnd w:id="38"/>
    </w:p>
    <w:p w14:paraId="1E9CDADC">
      <w:pPr>
        <w:pStyle w:val="2"/>
        <w:numPr>
          <w:ilvl w:val="-1"/>
          <w:numId w:val="0"/>
        </w:numPr>
        <w:overflowPunct w:val="0"/>
        <w:adjustRightInd w:val="0"/>
        <w:snapToGrid w:val="0"/>
        <w:spacing w:line="360" w:lineRule="auto"/>
        <w:ind w:left="420" w:leftChars="200" w:firstLine="0" w:firstLineChars="0"/>
        <w:jc w:val="left"/>
        <w:rPr>
          <w:rFonts w:hint="eastAsia"/>
          <w:color w:val="auto"/>
        </w:rPr>
      </w:pPr>
      <w:bookmarkStart w:id="39" w:name="_Toc15859"/>
      <w:bookmarkStart w:id="40" w:name="_Toc19558"/>
      <w:r>
        <w:rPr>
          <w:rFonts w:hint="eastAsia"/>
          <w:color w:val="auto"/>
        </w:rPr>
        <w:t>（一）</w:t>
      </w:r>
      <w:r>
        <w:rPr>
          <w:rFonts w:hint="default"/>
          <w:color w:val="auto"/>
        </w:rPr>
        <w:t>标准适用范围</w:t>
      </w:r>
      <w:bookmarkEnd w:id="39"/>
      <w:bookmarkEnd w:id="40"/>
    </w:p>
    <w:p w14:paraId="733EA118">
      <w:pPr>
        <w:pStyle w:val="45"/>
        <w:spacing w:line="360" w:lineRule="auto"/>
        <w:ind w:firstLine="480"/>
        <w:rPr>
          <w:rFonts w:hint="eastAsia" w:ascii="Times New Roman" w:hAnsi="Times New Roman" w:eastAsia="仿宋" w:cs="Times New Roman"/>
          <w:color w:val="auto"/>
          <w:sz w:val="30"/>
          <w:szCs w:val="30"/>
          <w:highlight w:val="none"/>
          <w:lang w:bidi="ar"/>
        </w:rPr>
      </w:pPr>
      <w:r>
        <w:rPr>
          <w:rFonts w:hint="eastAsia" w:ascii="Times New Roman" w:hAnsi="Times New Roman" w:eastAsia="仿宋" w:cs="Times New Roman"/>
          <w:color w:val="auto"/>
          <w:sz w:val="30"/>
          <w:szCs w:val="30"/>
          <w:highlight w:val="none"/>
          <w:lang w:bidi="ar"/>
        </w:rPr>
        <w:t>本文件规定了无异味园区创建的基本原则、技术要求和建设指标等内容。</w:t>
      </w:r>
    </w:p>
    <w:p w14:paraId="66B289A7">
      <w:pPr>
        <w:pStyle w:val="45"/>
        <w:spacing w:line="360" w:lineRule="auto"/>
        <w:ind w:firstLine="480"/>
        <w:rPr>
          <w:rFonts w:hint="eastAsia" w:ascii="Times New Roman" w:hAnsi="Times New Roman" w:eastAsia="仿宋" w:cs="Times New Roman"/>
          <w:color w:val="auto"/>
          <w:sz w:val="30"/>
          <w:szCs w:val="30"/>
          <w:highlight w:val="none"/>
          <w:lang w:bidi="ar"/>
        </w:rPr>
      </w:pPr>
      <w:r>
        <w:rPr>
          <w:rFonts w:hint="eastAsia" w:ascii="Times New Roman" w:hAnsi="Times New Roman" w:eastAsia="仿宋" w:cs="Times New Roman"/>
          <w:color w:val="auto"/>
          <w:sz w:val="30"/>
          <w:szCs w:val="30"/>
          <w:highlight w:val="none"/>
          <w:lang w:bidi="ar"/>
        </w:rPr>
        <w:t>本文件适用于生产经营活动较为集中、涉及异味物质产生、使用、储存、转运、处理处置等环节，可能对园区边界、园区内部公共区域或周边敏感目标产生异味影响的工业园区及其他产业集聚区开展无异味园区创建工作。园区内企业开展无异味工厂创建工作，可参照《无异味工厂创建技术指南》执行。</w:t>
      </w:r>
    </w:p>
    <w:p w14:paraId="0EE097FB">
      <w:pPr>
        <w:pStyle w:val="45"/>
        <w:spacing w:line="360" w:lineRule="auto"/>
        <w:ind w:firstLine="480"/>
        <w:rPr>
          <w:rFonts w:hint="eastAsia" w:ascii="Times New Roman" w:hAnsi="Times New Roman" w:eastAsia="仿宋" w:cs="Times New Roman"/>
          <w:color w:val="auto"/>
          <w:sz w:val="30"/>
          <w:szCs w:val="30"/>
          <w:highlight w:val="none"/>
          <w:lang w:bidi="ar"/>
        </w:rPr>
      </w:pPr>
      <w:r>
        <w:rPr>
          <w:rFonts w:hint="eastAsia" w:ascii="Times New Roman" w:hAnsi="Times New Roman" w:eastAsia="仿宋" w:cs="Times New Roman"/>
          <w:color w:val="auto"/>
          <w:sz w:val="30"/>
          <w:szCs w:val="30"/>
          <w:highlight w:val="none"/>
          <w:lang w:bidi="ar"/>
        </w:rPr>
        <w:t>标准采用功能性描述确定适用范围，未采用园区类型和行业类型穷尽式枚举，主要考虑到园区产业结构复杂、管理边界差异较大，采用“生产经营活动较为集中、涉及异味物质产生、使用、储存、转运、处理处置等环节”能够更准确覆盖存在异味污染防控需求的工业园区及其他产业集聚区。</w:t>
      </w:r>
    </w:p>
    <w:p w14:paraId="29764451">
      <w:pPr>
        <w:pStyle w:val="2"/>
        <w:numPr>
          <w:ilvl w:val="0"/>
          <w:numId w:val="0"/>
        </w:numPr>
        <w:overflowPunct w:val="0"/>
        <w:adjustRightInd w:val="0"/>
        <w:snapToGrid w:val="0"/>
        <w:spacing w:line="360" w:lineRule="auto"/>
        <w:ind w:leftChars="200" w:firstLine="0" w:firstLineChars="0"/>
        <w:jc w:val="left"/>
        <w:rPr>
          <w:rFonts w:hint="eastAsia" w:ascii="Times New Roman" w:hAnsi="Times New Roman" w:eastAsia="仿宋"/>
          <w:b/>
          <w:color w:val="auto"/>
          <w:kern w:val="44"/>
          <w:sz w:val="32"/>
          <w:szCs w:val="44"/>
          <w:lang w:val="en-US" w:eastAsia="zh-CN"/>
        </w:rPr>
      </w:pPr>
      <w:bookmarkStart w:id="41" w:name="_Toc20967"/>
      <w:bookmarkStart w:id="42" w:name="_Toc13374"/>
      <w:r>
        <w:rPr>
          <w:rFonts w:hint="eastAsia" w:ascii="Times New Roman" w:hAnsi="Times New Roman" w:eastAsia="仿宋"/>
          <w:b/>
          <w:color w:val="auto"/>
          <w:kern w:val="44"/>
          <w:sz w:val="32"/>
          <w:szCs w:val="44"/>
        </w:rPr>
        <w:t>（</w:t>
      </w:r>
      <w:r>
        <w:rPr>
          <w:rFonts w:hint="eastAsia" w:ascii="Times New Roman" w:hAnsi="Times New Roman" w:eastAsia="仿宋"/>
          <w:b/>
          <w:color w:val="auto"/>
          <w:kern w:val="44"/>
          <w:sz w:val="32"/>
          <w:szCs w:val="44"/>
          <w:lang w:val="en-US" w:eastAsia="zh-CN"/>
        </w:rPr>
        <w:t>二</w:t>
      </w:r>
      <w:r>
        <w:rPr>
          <w:rFonts w:hint="eastAsia" w:ascii="Times New Roman" w:hAnsi="Times New Roman" w:eastAsia="仿宋"/>
          <w:b/>
          <w:color w:val="auto"/>
          <w:kern w:val="44"/>
          <w:sz w:val="32"/>
          <w:szCs w:val="44"/>
        </w:rPr>
        <w:t>）</w:t>
      </w:r>
      <w:r>
        <w:rPr>
          <w:rFonts w:hint="eastAsia" w:ascii="Times New Roman" w:hAnsi="Times New Roman" w:eastAsia="仿宋"/>
          <w:b/>
          <w:color w:val="auto"/>
          <w:kern w:val="44"/>
          <w:sz w:val="32"/>
          <w:szCs w:val="44"/>
          <w:lang w:val="en-US" w:eastAsia="zh-CN"/>
        </w:rPr>
        <w:t>术语和定义</w:t>
      </w:r>
      <w:bookmarkEnd w:id="41"/>
      <w:bookmarkEnd w:id="42"/>
    </w:p>
    <w:p w14:paraId="581BD569">
      <w:pPr>
        <w:pStyle w:val="45"/>
        <w:spacing w:line="360" w:lineRule="auto"/>
        <w:ind w:firstLine="600" w:firstLineChars="200"/>
        <w:rPr>
          <w:rFonts w:hint="eastAsia" w:ascii="仿宋" w:hAnsi="仿宋" w:eastAsia="仿宋" w:cs="仿宋"/>
          <w:color w:val="auto"/>
          <w:sz w:val="30"/>
          <w:szCs w:val="30"/>
          <w:highlight w:val="none"/>
          <w:lang w:eastAsia="zh-CN" w:bidi="ar"/>
        </w:rPr>
      </w:pPr>
      <w:r>
        <w:rPr>
          <w:rFonts w:hint="eastAsia" w:ascii="仿宋" w:hAnsi="仿宋" w:eastAsia="仿宋" w:cs="仿宋"/>
          <w:color w:val="auto"/>
          <w:sz w:val="30"/>
          <w:szCs w:val="30"/>
          <w:highlight w:val="none"/>
          <w:lang w:eastAsia="zh-CN" w:bidi="ar"/>
        </w:rPr>
        <w:t>本文件规定了异味、臭气浓度、特征异味污染物、敏感目标、园区异味源、公共异味源、无异味园区、园区异味管理计划（P-OMP）、异味溯源和联防联控等10个术语。</w:t>
      </w:r>
    </w:p>
    <w:p w14:paraId="1A34AF9B">
      <w:pPr>
        <w:pStyle w:val="45"/>
        <w:spacing w:line="360" w:lineRule="auto"/>
        <w:ind w:firstLine="600" w:firstLineChars="200"/>
        <w:rPr>
          <w:rFonts w:hint="eastAsia" w:ascii="仿宋" w:hAnsi="仿宋" w:eastAsia="仿宋" w:cs="仿宋"/>
          <w:color w:val="auto"/>
          <w:sz w:val="30"/>
          <w:szCs w:val="30"/>
          <w:highlight w:val="none"/>
          <w:lang w:eastAsia="zh-CN" w:bidi="ar"/>
        </w:rPr>
      </w:pPr>
      <w:r>
        <w:rPr>
          <w:rFonts w:hint="eastAsia" w:ascii="仿宋" w:hAnsi="仿宋" w:eastAsia="仿宋" w:cs="仿宋"/>
          <w:color w:val="auto"/>
          <w:sz w:val="30"/>
          <w:szCs w:val="30"/>
          <w:highlight w:val="none"/>
          <w:lang w:eastAsia="zh-CN" w:bidi="ar"/>
        </w:rPr>
        <w:t>其中，“异味”参考HJ905—2017并结合本文件适用场景作适当修改；“臭气浓度”引用GB14554；“敏感目标”与无异味工厂指南保持协调。标准重点新增和明确了“园区异味源”“公共异味源”“无异味园区”“园区异味管理计划（P-OMP）”“异味溯源”和“联防联控”等园区尺度核心术语。</w:t>
      </w:r>
    </w:p>
    <w:p w14:paraId="480753F0">
      <w:pPr>
        <w:pStyle w:val="45"/>
        <w:spacing w:line="360" w:lineRule="auto"/>
        <w:ind w:firstLine="600" w:firstLineChars="200"/>
        <w:rPr>
          <w:rFonts w:hint="eastAsia" w:ascii="仿宋" w:hAnsi="仿宋" w:eastAsia="仿宋" w:cs="仿宋"/>
          <w:color w:val="auto"/>
          <w:sz w:val="30"/>
          <w:szCs w:val="30"/>
          <w:highlight w:val="none"/>
          <w:lang w:eastAsia="zh-CN" w:bidi="ar"/>
        </w:rPr>
      </w:pPr>
      <w:r>
        <w:rPr>
          <w:rFonts w:hint="eastAsia" w:ascii="仿宋" w:hAnsi="仿宋" w:eastAsia="仿宋" w:cs="仿宋"/>
          <w:color w:val="auto"/>
          <w:sz w:val="30"/>
          <w:szCs w:val="30"/>
          <w:highlight w:val="none"/>
          <w:lang w:eastAsia="zh-CN" w:bidi="ar"/>
        </w:rPr>
        <w:t>“园区异味源”覆盖园区范围内可能产生异味影响的企业生产装置、储存设施、装卸转运环节、废水处理设施、固体废物和危险废物贮存设施、废气治理设施、公共设施及其他相关场所或作业活动，为园区建立异味源清单提供依据。</w:t>
      </w:r>
    </w:p>
    <w:p w14:paraId="624B79E3">
      <w:pPr>
        <w:pStyle w:val="45"/>
        <w:spacing w:line="360" w:lineRule="auto"/>
        <w:ind w:firstLine="600" w:firstLineChars="200"/>
        <w:rPr>
          <w:rFonts w:hint="eastAsia" w:ascii="仿宋" w:hAnsi="仿宋" w:eastAsia="仿宋" w:cs="仿宋"/>
          <w:color w:val="auto"/>
          <w:sz w:val="30"/>
          <w:szCs w:val="30"/>
          <w:highlight w:val="none"/>
          <w:lang w:eastAsia="zh-CN" w:bidi="ar"/>
        </w:rPr>
      </w:pPr>
      <w:r>
        <w:rPr>
          <w:rFonts w:hint="eastAsia" w:ascii="仿宋" w:hAnsi="仿宋" w:eastAsia="仿宋" w:cs="仿宋"/>
          <w:color w:val="auto"/>
          <w:sz w:val="30"/>
          <w:szCs w:val="30"/>
          <w:highlight w:val="none"/>
          <w:lang w:eastAsia="zh-CN" w:bidi="ar"/>
        </w:rPr>
        <w:t>“公共异味源”突出园区层面的特色管理对象，涵盖集中污水处理设施、污泥处理或暂存设施、固体废物和危险废物集中贮存或转运设施、公共罐区、公共管廊、泵站、检查井、事故应急池及其他公共环保或配套设施。</w:t>
      </w:r>
    </w:p>
    <w:p w14:paraId="4AD060A5">
      <w:pPr>
        <w:pStyle w:val="45"/>
        <w:spacing w:line="360" w:lineRule="auto"/>
        <w:ind w:firstLine="600" w:firstLineChars="200"/>
        <w:rPr>
          <w:rFonts w:hint="eastAsia" w:ascii="仿宋" w:hAnsi="仿宋" w:eastAsia="仿宋" w:cs="仿宋"/>
          <w:color w:val="auto"/>
          <w:sz w:val="30"/>
          <w:szCs w:val="30"/>
          <w:highlight w:val="none"/>
          <w:lang w:eastAsia="zh-CN" w:bidi="ar"/>
        </w:rPr>
      </w:pPr>
      <w:r>
        <w:rPr>
          <w:rFonts w:hint="eastAsia" w:ascii="仿宋" w:hAnsi="仿宋" w:eastAsia="仿宋" w:cs="仿宋"/>
          <w:color w:val="auto"/>
          <w:sz w:val="30"/>
          <w:szCs w:val="30"/>
          <w:highlight w:val="none"/>
          <w:lang w:eastAsia="zh-CN" w:bidi="ar"/>
        </w:rPr>
        <w:t>“无异味园区”强调通过园区统筹、企业治理、公共异味源管控、监测预警、投诉溯源、联防联控和长效管理，建立园区异味污染协同管控体系，使园区内重点异味源、公共异味源、园区边界及周边敏感目标异味影响得到有效防控，异味投诉得到及时响应和闭环处置，并持续改进异味污染治理绩效。该定义避免将“无异味园区”理解为园区在任何条件下均无气味感知。</w:t>
      </w:r>
    </w:p>
    <w:p w14:paraId="2162CB8E">
      <w:pPr>
        <w:pStyle w:val="45"/>
        <w:spacing w:line="360" w:lineRule="auto"/>
        <w:ind w:firstLine="600" w:firstLineChars="200"/>
        <w:rPr>
          <w:rFonts w:hint="eastAsia" w:ascii="仿宋" w:hAnsi="仿宋" w:eastAsia="仿宋" w:cs="仿宋"/>
          <w:color w:val="auto"/>
          <w:sz w:val="30"/>
          <w:szCs w:val="30"/>
          <w:highlight w:val="none"/>
          <w:lang w:eastAsia="zh-CN" w:bidi="ar"/>
        </w:rPr>
      </w:pPr>
      <w:r>
        <w:rPr>
          <w:rFonts w:hint="eastAsia" w:ascii="仿宋" w:hAnsi="仿宋" w:eastAsia="仿宋" w:cs="仿宋"/>
          <w:color w:val="auto"/>
          <w:sz w:val="30"/>
          <w:szCs w:val="30"/>
          <w:highlight w:val="none"/>
          <w:lang w:eastAsia="zh-CN" w:bidi="ar"/>
        </w:rPr>
        <w:t>“园区异味管理计划（P-OMP）”明确其为园区管理机构或运营管理单位基于风险思维和协同治理理念制定的动态管理文件，涵盖园区异味源清单、风险分级、重点企业管控、公共异味源管理、监测预警、投诉溯源、异常工况联防联控、公众沟通及持续改进等内容。</w:t>
      </w:r>
    </w:p>
    <w:p w14:paraId="12C304F8">
      <w:pPr>
        <w:pStyle w:val="72"/>
        <w:numPr>
          <w:ilvl w:val="2"/>
          <w:numId w:val="0"/>
        </w:numPr>
        <w:spacing w:line="360" w:lineRule="auto"/>
        <w:ind w:firstLine="600" w:firstLineChars="200"/>
        <w:rPr>
          <w:rFonts w:hint="eastAsia" w:ascii="Times New Roman" w:eastAsia="仿宋"/>
          <w:color w:val="auto"/>
          <w:kern w:val="2"/>
          <w:sz w:val="30"/>
          <w:szCs w:val="30"/>
          <w:highlight w:val="none"/>
          <w:lang w:val="en-US" w:eastAsia="zh-CN" w:bidi="ar"/>
        </w:rPr>
      </w:pPr>
      <w:r>
        <w:rPr>
          <w:rFonts w:hint="eastAsia" w:ascii="仿宋" w:hAnsi="仿宋" w:eastAsia="仿宋" w:cs="仿宋"/>
          <w:color w:val="auto"/>
          <w:sz w:val="30"/>
          <w:szCs w:val="30"/>
          <w:highlight w:val="none"/>
          <w:lang w:eastAsia="zh-CN" w:bidi="ar"/>
        </w:rPr>
        <w:t>“异味溯源”和“联防联控”是园区指南区别于工厂指南的重要术语，分别用于支撑投诉来源研判和多主体协同处置机制建设。</w:t>
      </w:r>
      <w:r>
        <w:rPr>
          <w:rFonts w:hint="eastAsia" w:ascii="Times New Roman" w:eastAsia="仿宋"/>
          <w:color w:val="auto"/>
          <w:kern w:val="2"/>
          <w:sz w:val="30"/>
          <w:szCs w:val="30"/>
          <w:highlight w:val="none"/>
          <w:lang w:val="en-US" w:eastAsia="zh-CN" w:bidi="ar"/>
        </w:rPr>
        <w:t>。</w:t>
      </w:r>
    </w:p>
    <w:p w14:paraId="2FE60118">
      <w:pPr>
        <w:pStyle w:val="2"/>
        <w:numPr>
          <w:ilvl w:val="0"/>
          <w:numId w:val="0"/>
        </w:numPr>
        <w:overflowPunct w:val="0"/>
        <w:adjustRightInd w:val="0"/>
        <w:snapToGrid w:val="0"/>
        <w:spacing w:line="360" w:lineRule="auto"/>
        <w:ind w:leftChars="200" w:firstLine="0" w:firstLineChars="0"/>
        <w:jc w:val="left"/>
        <w:rPr>
          <w:rFonts w:hint="eastAsia" w:ascii="Times New Roman" w:hAnsi="Times New Roman" w:eastAsia="仿宋"/>
          <w:b/>
          <w:color w:val="auto"/>
          <w:kern w:val="44"/>
          <w:sz w:val="32"/>
          <w:szCs w:val="44"/>
          <w:lang w:val="en-US" w:eastAsia="zh-CN"/>
        </w:rPr>
      </w:pPr>
      <w:bookmarkStart w:id="43" w:name="_Toc17386"/>
      <w:bookmarkStart w:id="44" w:name="_Toc6135"/>
      <w:r>
        <w:rPr>
          <w:rFonts w:hint="eastAsia" w:ascii="Times New Roman" w:hAnsi="Times New Roman"/>
          <w:b/>
          <w:color w:val="auto"/>
          <w:kern w:val="44"/>
          <w:sz w:val="32"/>
          <w:szCs w:val="44"/>
          <w:lang w:val="en-US" w:eastAsia="zh-CN"/>
        </w:rPr>
        <w:t>（三）</w:t>
      </w:r>
      <w:bookmarkEnd w:id="43"/>
      <w:r>
        <w:rPr>
          <w:rFonts w:hint="eastAsia"/>
          <w:b/>
          <w:color w:val="auto"/>
          <w:kern w:val="44"/>
          <w:sz w:val="32"/>
          <w:szCs w:val="44"/>
          <w:lang w:val="en-US" w:eastAsia="zh-CN"/>
        </w:rPr>
        <w:t>总体要求</w:t>
      </w:r>
      <w:bookmarkEnd w:id="44"/>
    </w:p>
    <w:p w14:paraId="538A1BF8">
      <w:pPr>
        <w:pStyle w:val="72"/>
        <w:numPr>
          <w:ilvl w:val="2"/>
          <w:numId w:val="0"/>
        </w:numPr>
        <w:spacing w:line="360" w:lineRule="auto"/>
        <w:ind w:firstLine="600" w:firstLineChars="200"/>
        <w:rPr>
          <w:rFonts w:hint="eastAsia" w:ascii="Times New Roman" w:eastAsia="仿宋"/>
          <w:color w:val="auto"/>
          <w:kern w:val="2"/>
          <w:sz w:val="30"/>
          <w:szCs w:val="30"/>
          <w:highlight w:val="none"/>
          <w:lang w:val="en-US" w:eastAsia="zh-CN" w:bidi="ar"/>
        </w:rPr>
      </w:pPr>
      <w:bookmarkStart w:id="45" w:name="_Toc15764"/>
      <w:r>
        <w:rPr>
          <w:rFonts w:hint="eastAsia" w:ascii="Times New Roman" w:eastAsia="仿宋"/>
          <w:color w:val="auto"/>
          <w:kern w:val="2"/>
          <w:sz w:val="30"/>
          <w:szCs w:val="30"/>
          <w:highlight w:val="none"/>
          <w:lang w:val="en-US" w:eastAsia="zh-CN" w:bidi="ar"/>
        </w:rPr>
        <w:t>标准第4章规定了无异味园区创建的基本要求和创建原则。</w:t>
      </w:r>
    </w:p>
    <w:p w14:paraId="24259695">
      <w:pPr>
        <w:pStyle w:val="72"/>
        <w:numPr>
          <w:ilvl w:val="2"/>
          <w:numId w:val="0"/>
        </w:numPr>
        <w:spacing w:line="360" w:lineRule="auto"/>
        <w:ind w:firstLine="600" w:firstLineChars="200"/>
        <w:rPr>
          <w:rFonts w:hint="eastAsia" w:ascii="Times New Roman" w:eastAsia="仿宋"/>
          <w:color w:val="auto"/>
          <w:kern w:val="2"/>
          <w:sz w:val="30"/>
          <w:szCs w:val="30"/>
          <w:highlight w:val="none"/>
          <w:lang w:val="en-US" w:eastAsia="zh-CN" w:bidi="ar"/>
        </w:rPr>
      </w:pPr>
      <w:r>
        <w:rPr>
          <w:rFonts w:hint="eastAsia" w:ascii="Times New Roman" w:eastAsia="仿宋"/>
          <w:color w:val="auto"/>
          <w:kern w:val="2"/>
          <w:sz w:val="30"/>
          <w:szCs w:val="30"/>
          <w:highlight w:val="none"/>
          <w:lang w:val="en-US" w:eastAsia="zh-CN" w:bidi="ar"/>
        </w:rPr>
        <w:t>基本要求方面，标准首先要求园区具有明确的创建范围和管理边界。由于部分园区存在规划范围、实际运营管理范围和本次创建范围不完全一致的情况，明确创建边界是开展边界监测、公共异味源管理、投诉归属和责任划分的基础。</w:t>
      </w:r>
    </w:p>
    <w:p w14:paraId="49D83AFF">
      <w:pPr>
        <w:pStyle w:val="72"/>
        <w:numPr>
          <w:ilvl w:val="2"/>
          <w:numId w:val="0"/>
        </w:numPr>
        <w:spacing w:line="360" w:lineRule="auto"/>
        <w:ind w:firstLine="600" w:firstLineChars="200"/>
        <w:rPr>
          <w:rFonts w:hint="eastAsia" w:ascii="Times New Roman" w:eastAsia="仿宋"/>
          <w:color w:val="auto"/>
          <w:kern w:val="2"/>
          <w:sz w:val="30"/>
          <w:szCs w:val="30"/>
          <w:highlight w:val="none"/>
          <w:lang w:val="en-US" w:eastAsia="zh-CN" w:bidi="ar"/>
        </w:rPr>
      </w:pPr>
      <w:r>
        <w:rPr>
          <w:rFonts w:hint="eastAsia" w:ascii="Times New Roman" w:eastAsia="仿宋"/>
          <w:color w:val="auto"/>
          <w:kern w:val="2"/>
          <w:sz w:val="30"/>
          <w:szCs w:val="30"/>
          <w:highlight w:val="none"/>
          <w:lang w:val="en-US" w:eastAsia="zh-CN" w:bidi="ar"/>
        </w:rPr>
        <w:t>其次，标准要求园区设有明确的管理机构、运营管理单位或受委托的环境管理责任主体，负责统筹推进无异味园区创建工作。同时明确园区内企业仍应依法落实异味污染防治主体责任，园区管理机构或运营管理单位应承担组织协调、公共设施管理、监测预警、投诉协调、溯源排查和持续改进等统筹管理责任。</w:t>
      </w:r>
    </w:p>
    <w:p w14:paraId="6FE68E62">
      <w:pPr>
        <w:pStyle w:val="72"/>
        <w:numPr>
          <w:ilvl w:val="2"/>
          <w:numId w:val="0"/>
        </w:numPr>
        <w:spacing w:line="360" w:lineRule="auto"/>
        <w:ind w:firstLine="600" w:firstLineChars="200"/>
        <w:rPr>
          <w:rFonts w:hint="eastAsia" w:ascii="Times New Roman" w:eastAsia="仿宋"/>
          <w:color w:val="auto"/>
          <w:kern w:val="2"/>
          <w:sz w:val="30"/>
          <w:szCs w:val="30"/>
          <w:highlight w:val="none"/>
          <w:lang w:val="en-US" w:eastAsia="zh-CN" w:bidi="ar"/>
        </w:rPr>
      </w:pPr>
      <w:r>
        <w:rPr>
          <w:rFonts w:hint="eastAsia" w:ascii="Times New Roman" w:eastAsia="仿宋"/>
          <w:color w:val="auto"/>
          <w:kern w:val="2"/>
          <w:sz w:val="30"/>
          <w:szCs w:val="30"/>
          <w:highlight w:val="none"/>
          <w:lang w:val="en-US" w:eastAsia="zh-CN" w:bidi="ar"/>
        </w:rPr>
        <w:t>再次，标准要求园区建立园区异味源清单，识别重点涉异味企业、公共异味源、园区边界及周边敏感目标，掌握异味源分布、主要异味特征、治理设施配置、历史投诉和环境敏感程度等信息，并根据识别结果开展风险分级，确定重点管控区域、重点管控企业和重点公共异味源。</w:t>
      </w:r>
    </w:p>
    <w:p w14:paraId="23A15FB9">
      <w:pPr>
        <w:pStyle w:val="72"/>
        <w:numPr>
          <w:ilvl w:val="2"/>
          <w:numId w:val="0"/>
        </w:numPr>
        <w:spacing w:line="360" w:lineRule="auto"/>
        <w:ind w:firstLine="600" w:firstLineChars="200"/>
        <w:rPr>
          <w:rFonts w:hint="eastAsia" w:ascii="Times New Roman" w:eastAsia="仿宋"/>
          <w:color w:val="auto"/>
          <w:kern w:val="2"/>
          <w:sz w:val="30"/>
          <w:szCs w:val="30"/>
          <w:highlight w:val="none"/>
          <w:lang w:val="en-US" w:eastAsia="zh-CN" w:bidi="ar"/>
        </w:rPr>
      </w:pPr>
      <w:r>
        <w:rPr>
          <w:rFonts w:hint="eastAsia" w:ascii="Times New Roman" w:eastAsia="仿宋"/>
          <w:color w:val="auto"/>
          <w:kern w:val="2"/>
          <w:sz w:val="30"/>
          <w:szCs w:val="30"/>
          <w:highlight w:val="none"/>
          <w:lang w:val="en-US" w:eastAsia="zh-CN" w:bidi="ar"/>
        </w:rPr>
        <w:t>此外，标准要求园区建立与异味污染风险和管理需求相适应的环境管理制度或园区异味管理计划（P-OMP），具备监测、巡查、投诉响应和溯源排查能力，并推动重点涉异味企业开展无异味工厂创建或落实等效异味管控要求。</w:t>
      </w:r>
    </w:p>
    <w:p w14:paraId="66A1542C">
      <w:pPr>
        <w:pStyle w:val="72"/>
        <w:numPr>
          <w:ilvl w:val="2"/>
          <w:numId w:val="0"/>
        </w:numPr>
        <w:spacing w:line="360" w:lineRule="auto"/>
        <w:ind w:firstLine="600" w:firstLineChars="200"/>
        <w:rPr>
          <w:rFonts w:hint="eastAsia"/>
          <w:color w:val="auto"/>
          <w:lang w:val="en-US" w:eastAsia="zh-CN"/>
        </w:rPr>
      </w:pPr>
      <w:r>
        <w:rPr>
          <w:rFonts w:hint="eastAsia" w:ascii="Times New Roman" w:eastAsia="仿宋"/>
          <w:color w:val="auto"/>
          <w:kern w:val="2"/>
          <w:sz w:val="30"/>
          <w:szCs w:val="30"/>
          <w:highlight w:val="none"/>
          <w:lang w:val="en-US" w:eastAsia="zh-CN" w:bidi="ar"/>
        </w:rPr>
        <w:t>创建原则方面，标准提出“统筹管理、协同治理”“源头优先、系统控制”“风险分级、重点管控”“监测预警、精准溯源”“信息沟通、持续改进”五项原则。其中，“统筹管理、协同治理”强调园区管理机构或运营管理单位的统筹作用；“源头优先、系统控制”强调企业治理、公共设施管控和园区边界防控相结合；“风险分级、重点管控”强调优先管控高风险企业、高风险公共异味源和投诉关联区域；“监测预警、精准溯源”强调通过监测、巡查、投诉和气象信息提升异常发现和来源研判能力；“信息沟通、持续改进”强调基于监测评估、投诉核查和年度自评结果持续提升园区异味污染防控水平。</w:t>
      </w:r>
    </w:p>
    <w:bookmarkEnd w:id="45"/>
    <w:p w14:paraId="39E308B6">
      <w:pPr>
        <w:pStyle w:val="2"/>
        <w:numPr>
          <w:ilvl w:val="0"/>
          <w:numId w:val="0"/>
        </w:numPr>
        <w:overflowPunct w:val="0"/>
        <w:adjustRightInd w:val="0"/>
        <w:snapToGrid w:val="0"/>
        <w:spacing w:line="360" w:lineRule="auto"/>
        <w:ind w:leftChars="200" w:firstLine="0" w:firstLineChars="0"/>
        <w:jc w:val="left"/>
        <w:rPr>
          <w:rFonts w:hint="eastAsia" w:ascii="Times New Roman" w:hAnsi="Times New Roman"/>
          <w:b/>
          <w:color w:val="auto"/>
          <w:kern w:val="44"/>
          <w:sz w:val="32"/>
          <w:szCs w:val="44"/>
          <w:lang w:val="en-US" w:eastAsia="zh-CN"/>
        </w:rPr>
      </w:pPr>
      <w:bookmarkStart w:id="46" w:name="_Toc15229"/>
      <w:r>
        <w:rPr>
          <w:rFonts w:hint="eastAsia" w:ascii="Times New Roman" w:hAnsi="Times New Roman"/>
          <w:b/>
          <w:color w:val="auto"/>
          <w:kern w:val="44"/>
          <w:sz w:val="32"/>
          <w:szCs w:val="44"/>
          <w:lang w:val="en-US" w:eastAsia="zh-CN"/>
        </w:rPr>
        <w:t>（四）创建技术要求</w:t>
      </w:r>
      <w:bookmarkEnd w:id="46"/>
    </w:p>
    <w:p w14:paraId="49BA7234">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标准第5章围绕园区尺度的规划布局、异味源识别、重点企业、公共异味源、跨介质协同、边界监测、投诉溯源、联防联控、P-OMP和公众沟通等内容提出要求。</w:t>
      </w:r>
    </w:p>
    <w:p w14:paraId="67826F75">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1）园区规划布局与空间隔离。标准要求园区规划、建设和改造将异味影响防控作为重要内容，结合产业定位、企业分布、公共设施布局、园区边界、周边敏感目标和主导风向等因素，优化园区功能分区和空间布局。标准要求涉异味重点企业、集中污水处理设施、污泥处理或暂存设施、固体废物和危险废物集中贮存或转运设施、公共罐区、事故应急池等重点异味风险单元，宜布置在对周边敏感目标影响较小的区域，并与园区办公生活区、公共服务区和周边敏感目标保持合理防护距离。</w:t>
      </w:r>
    </w:p>
    <w:p w14:paraId="48BFDD49">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2）园区异味源识别与风险分级。标准要求园区组织开展异味源排查，建立覆盖重点涉异味企业、公共异味源、园区边界重点区域、历史投诉关联区域及其他可能产生异味影响场所或作业活动的园区异味源清单。标准要求结合行业类型、异味源强、排放频次、持续时间、异味性质、治理基础、历史投诉、异常工况风险、与周边敏感目标距离、主导风向和扩散条件等因素开展风险分级，确定重点管控企业、重点公共异味源、重点管控区域和重点监测区域。</w:t>
      </w:r>
    </w:p>
    <w:p w14:paraId="4D864BBA">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3）重点涉异味企业管控。标准要求园区根据异味源识别和风险分级结果，建立重点涉异味企业清单，督促重点涉异味企业落实异味污染防治主体责任。重点涉异味企业宜按照《无异味工厂创建技术指南》开展无异味工厂创建或落实等效异味管控要求，建立企业异味源清单、企业异味管理计划、运行管理台账、异常工况响应和投诉闭环处置机制。园区可建立重点涉异味企业异味治理信息报送或共享机制，掌握企业主要异味源、治理设施运行状态、异常工况、检维修计划、投诉整改和年度治理提升情况。</w:t>
      </w:r>
    </w:p>
    <w:p w14:paraId="28C320A4">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4）公共异味源管控。标准要求园区将集中污水处理设施、污泥处理或暂存设施、固体废物和危险废物集中贮存或转运设施、公共罐区、公共管廊、泵站、检查井、事故应急池及其他公共环保或配套设施纳入公共异味源管理。公共异味源应明确责任主体和管理要求，建立运行维护、巡查检查、异常报告、问题整改和台账记录制度。对集中污水处理设施、污泥处理或暂存设施等易产生异味的公共设施，标准提出加盖密闭、负压收集、废气治理、污泥及时清运、现场清洁和运行参数控制等措施。</w:t>
      </w:r>
    </w:p>
    <w:p w14:paraId="015CDA7E">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5）园区废水、固体废物和危险废物异味协同管控。标准针对废气、废水、固体废物和危险废物之间可能存在的跨介质转移和二次异味污染风险，要求园区加强协同管理。标准要求园区推动涉异味企业规范废水预处理和排放管理，防止高浓度含硫、含氮、含挥发性有机物或其他易致臭废水异常进入园区污水收集处理系统，造成集中污水处理设施、管网、泵站或检查井异味释放。同时，标准要求规范管理废吸附剂、废催化剂、废过滤材料、污泥、废包装桶等可能产生异味的固体废物和危险废物，防止暂存、清掏、装卸和转运过程中发生二次异味污染。</w:t>
      </w:r>
    </w:p>
    <w:p w14:paraId="0B38C926">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6）园区边界监测、巡查与预警。标准要求园区根据异味源分布、主导风向、园区边界、周边敏感目标和历史投诉情况，制定园区异味监测与巡查方案。监测或巡查点位宜覆盖园区边界、靠近周边敏感目标一侧边界、重点异味源集中区域、公共异味源周边、历史投诉关联区域和园区内部公共区域。监测指标宜包括臭气浓度、企业或园区特征异味污染物、VOCs相关指标及必要气象参数。对复合型异味影响突出的园区，鼓励开展特征异味污染物识别和异味指纹分析。具备条件的园区可建设电子鼻、VOCs微站、气象站、视频监控或园区异味管理信息平台，开展边界监测、异常预警、趋势分析和投诉溯源辅助研判。</w:t>
      </w:r>
    </w:p>
    <w:p w14:paraId="599F09C2">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7）异味投诉响应与溯源处置。标准要求园区建立异味投诉响应与溯源处置机制，明确投诉受理、现场核查、气象分析、监测巡查、疑似异味源排查、企业协查、整改反馈和资料归档等流程。接到异味投诉后，园区应结合投诉时间、地点、气味特征、风向风速、周边企业分布、公共异味源运行状态和监测数据等信息开展初步研判和现场核查。对疑似由企业或公共异味源引发的投诉，分别协调相关企业或公共设施运营单位开展排查处置，并对投诉处理情况进行闭环管理。</w:t>
      </w:r>
    </w:p>
    <w:p w14:paraId="1BCC5534">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8）异常工况管理与联防联控。标准要求园区建立异常工况联防联控机制，将重点企业开停车、检维修、清洗置换、治理设施故障、物料泄漏、公共设施异常运行、应急泄放和不利气象条件等纳入园区异味风险管理。重点涉异味企业和公共设施运营单位在计划开展可能产生明显异味影响的作业前，宜向园区管理机构或运营管理单位进行信息报备或内部通报。园区宜结合气象条件、投诉历史、敏感目标分布和重点源运行情况，协调合理安排高异味风险作业时段，避免在不利扩散条件下集中开展高异味风险作业。</w:t>
      </w:r>
    </w:p>
    <w:p w14:paraId="3D9D026D">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9）园区异味管理计划与持续改进。标准要求园区依据附录A编制并实施园区异味管理计划（P-OMP），将P-OMP作为园区异味环境管理的纲领性文件。P-OMP应涵盖园区异味源清单、风险分级、重点企业管控、公共异味源管理、监测预警、投诉溯源、异常工况联防联控、公众沟通及持续改进等内容。标准要求园区建立P-OMP定期回顾与更新机制，对P-OMP执行情况开展内部审核或自评，形成问题清单，明确整改措施、责任主体和完成时限。</w:t>
      </w:r>
    </w:p>
    <w:p w14:paraId="1C35A045">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10）培训、信息公开与公众沟通。标准要求园区组织开展异味污染防控培训，培训对象宜覆盖园区管理人员、公共设施运营人员、重点涉异味企业环保管理人员、巡查人员和投诉处理人员。标准还要求园区建立信息沟通机制，向园区内企业宣传无异味园区创建要求、重点任务、管理制度和整改提升要求，并结合实际通过信息公开栏、园区网站、公众号、公众座谈、企业开放日、社区沟通会等方式，向周边公众说明园区异味治理措施、投诉渠道、整改进展和治理成效。</w:t>
      </w:r>
    </w:p>
    <w:p w14:paraId="5EB3806D">
      <w:pPr>
        <w:pStyle w:val="2"/>
        <w:numPr>
          <w:ilvl w:val="0"/>
          <w:numId w:val="0"/>
        </w:numPr>
        <w:overflowPunct w:val="0"/>
        <w:adjustRightInd w:val="0"/>
        <w:snapToGrid w:val="0"/>
        <w:spacing w:before="157" w:beforeLines="50" w:line="360" w:lineRule="auto"/>
        <w:ind w:leftChars="200" w:firstLine="0" w:firstLineChars="0"/>
        <w:jc w:val="left"/>
        <w:rPr>
          <w:rFonts w:hint="eastAsia" w:ascii="Times New Roman" w:hAnsi="Times New Roman" w:eastAsia="仿宋" w:cs="Times New Roman"/>
          <w:b/>
          <w:bCs/>
          <w:color w:val="auto"/>
          <w:kern w:val="44"/>
          <w:sz w:val="32"/>
          <w:szCs w:val="44"/>
          <w:lang w:val="en-US" w:eastAsia="zh-CN" w:bidi="ar-SA"/>
        </w:rPr>
      </w:pPr>
      <w:bookmarkStart w:id="47" w:name="_Toc1716"/>
      <w:r>
        <w:rPr>
          <w:rFonts w:hint="eastAsia" w:ascii="Times New Roman" w:hAnsi="Times New Roman" w:eastAsia="仿宋" w:cs="Times New Roman"/>
          <w:b/>
          <w:bCs/>
          <w:color w:val="auto"/>
          <w:kern w:val="44"/>
          <w:sz w:val="32"/>
          <w:szCs w:val="44"/>
          <w:lang w:val="en-US" w:eastAsia="zh-CN" w:bidi="ar-SA"/>
        </w:rPr>
        <w:t>（</w:t>
      </w:r>
      <w:r>
        <w:rPr>
          <w:rFonts w:hint="eastAsia" w:cs="Times New Roman"/>
          <w:b/>
          <w:bCs/>
          <w:color w:val="auto"/>
          <w:kern w:val="44"/>
          <w:sz w:val="32"/>
          <w:szCs w:val="44"/>
          <w:lang w:val="en-US" w:eastAsia="zh-CN" w:bidi="ar-SA"/>
        </w:rPr>
        <w:t>五</w:t>
      </w:r>
      <w:r>
        <w:rPr>
          <w:rFonts w:hint="eastAsia" w:ascii="Times New Roman" w:hAnsi="Times New Roman" w:eastAsia="仿宋" w:cs="Times New Roman"/>
          <w:b/>
          <w:bCs/>
          <w:color w:val="auto"/>
          <w:kern w:val="44"/>
          <w:sz w:val="32"/>
          <w:szCs w:val="44"/>
          <w:lang w:val="en-US" w:eastAsia="zh-CN" w:bidi="ar-SA"/>
        </w:rPr>
        <w:t>）建设指标</w:t>
      </w:r>
      <w:bookmarkEnd w:id="47"/>
    </w:p>
    <w:p w14:paraId="21040F0F">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标准第6章设置无异味园区建设指标，用于指导创建主体开展自评、问题识别和持续改进。指标体系包括绩效目标、园区统筹管理、重点企业与公共异味源管控、监测预警与溯源处置、联防联控与持续改进等五类，共22项指标。</w:t>
      </w:r>
    </w:p>
    <w:p w14:paraId="160CE1CF">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指标类型分为一类、二类、三类。一类指标为无异味园区创建的基本条件类指标，原则上应满足；二类指标为核心提升类指标，创建主体应结合园区产业特征、异味污染风险、管理基础和实际条件达到相关目标要求；三类指标为引领示范类指标，鼓励园区积极对标开展建设，用于体现创建工作的先进性和持续提升水平。</w:t>
      </w:r>
    </w:p>
    <w:p w14:paraId="678BA74E">
      <w:pPr>
        <w:pStyle w:val="43"/>
        <w:spacing w:line="360" w:lineRule="auto"/>
        <w:ind w:firstLine="480"/>
        <w:rPr>
          <w:rFonts w:hint="eastAsia" w:ascii="Times New Roman" w:eastAsia="仿宋" w:cs="Times New Roman"/>
          <w:color w:val="auto"/>
          <w:kern w:val="2"/>
          <w:sz w:val="30"/>
          <w:szCs w:val="30"/>
          <w:highlight w:val="none"/>
          <w:lang w:val="en-US" w:eastAsia="zh-CN" w:bidi="ar"/>
        </w:rPr>
      </w:pPr>
      <w:r>
        <w:rPr>
          <w:rFonts w:hint="eastAsia" w:ascii="Times New Roman" w:eastAsia="仿宋" w:cs="Times New Roman"/>
          <w:color w:val="auto"/>
          <w:kern w:val="2"/>
          <w:sz w:val="30"/>
          <w:szCs w:val="30"/>
          <w:highlight w:val="none"/>
          <w:lang w:val="en-US" w:eastAsia="zh-CN" w:bidi="ar"/>
        </w:rPr>
        <w:t>需要说明的是，本标准的建设指标用于指导无异味园区创建和自评，不作为无异味园区等级评价或认证认定的直接依据。设置指标的目的在于帮助园区识别创建短板、明确提升方向，并将自评结果作为P-OMP更新、问题整改和持续改进的重要依据。</w:t>
      </w:r>
    </w:p>
    <w:p w14:paraId="3C11374C">
      <w:pPr>
        <w:pStyle w:val="2"/>
        <w:numPr>
          <w:ilvl w:val="0"/>
          <w:numId w:val="0"/>
        </w:numPr>
        <w:overflowPunct w:val="0"/>
        <w:adjustRightInd w:val="0"/>
        <w:snapToGrid w:val="0"/>
        <w:spacing w:before="157" w:beforeLines="50" w:line="360" w:lineRule="auto"/>
        <w:ind w:leftChars="200" w:firstLine="0" w:firstLineChars="0"/>
        <w:jc w:val="left"/>
        <w:rPr>
          <w:rFonts w:hint="eastAsia" w:ascii="Times New Roman" w:hAnsi="Times New Roman" w:eastAsia="仿宋"/>
          <w:b/>
          <w:color w:val="auto"/>
          <w:kern w:val="44"/>
          <w:sz w:val="32"/>
          <w:szCs w:val="44"/>
          <w:lang w:eastAsia="zh-CN"/>
        </w:rPr>
      </w:pPr>
      <w:bookmarkStart w:id="48" w:name="_Toc19016"/>
      <w:bookmarkStart w:id="49" w:name="_Toc25239"/>
      <w:bookmarkStart w:id="50" w:name="_Toc25153"/>
      <w:bookmarkStart w:id="51" w:name="_Toc4658"/>
      <w:r>
        <w:rPr>
          <w:rFonts w:hint="eastAsia" w:ascii="Times New Roman" w:hAnsi="Times New Roman" w:eastAsia="仿宋"/>
          <w:b/>
          <w:color w:val="auto"/>
          <w:kern w:val="44"/>
          <w:sz w:val="32"/>
          <w:szCs w:val="44"/>
          <w:lang w:val="en-US" w:eastAsia="zh-CN"/>
        </w:rPr>
        <w:t>（</w:t>
      </w:r>
      <w:r>
        <w:rPr>
          <w:rFonts w:hint="eastAsia"/>
          <w:b/>
          <w:color w:val="auto"/>
          <w:kern w:val="44"/>
          <w:sz w:val="32"/>
          <w:szCs w:val="44"/>
          <w:lang w:val="en-US" w:eastAsia="zh-CN"/>
        </w:rPr>
        <w:t>六</w:t>
      </w:r>
      <w:r>
        <w:rPr>
          <w:rFonts w:hint="eastAsia" w:ascii="Times New Roman" w:hAnsi="Times New Roman" w:eastAsia="仿宋"/>
          <w:b/>
          <w:color w:val="auto"/>
          <w:kern w:val="44"/>
          <w:sz w:val="32"/>
          <w:szCs w:val="44"/>
          <w:lang w:val="en-US" w:eastAsia="zh-CN"/>
        </w:rPr>
        <w:t>）附录</w:t>
      </w:r>
      <w:bookmarkEnd w:id="48"/>
      <w:bookmarkEnd w:id="49"/>
    </w:p>
    <w:bookmarkEnd w:id="50"/>
    <w:bookmarkEnd w:id="51"/>
    <w:p w14:paraId="198728CE">
      <w:pPr>
        <w:tabs>
          <w:tab w:val="left" w:pos="790"/>
          <w:tab w:val="left" w:pos="1264"/>
        </w:tabs>
        <w:overflowPunct w:val="0"/>
        <w:adjustRightInd w:val="0"/>
        <w:snapToGrid w:val="0"/>
        <w:spacing w:before="157" w:beforeLines="50" w:line="360" w:lineRule="auto"/>
        <w:ind w:firstLine="643"/>
        <w:jc w:val="left"/>
        <w:rPr>
          <w:rFonts w:hint="eastAsia" w:eastAsia="仿宋" w:cs="Times New Roman"/>
          <w:color w:val="auto"/>
          <w:kern w:val="2"/>
          <w:sz w:val="30"/>
          <w:szCs w:val="30"/>
          <w:highlight w:val="none"/>
          <w:lang w:val="en-US" w:eastAsia="zh-CN" w:bidi="ar"/>
        </w:rPr>
      </w:pPr>
      <w:r>
        <w:rPr>
          <w:rFonts w:hint="eastAsia" w:eastAsia="仿宋" w:cs="Times New Roman"/>
          <w:color w:val="auto"/>
          <w:kern w:val="2"/>
          <w:sz w:val="30"/>
          <w:szCs w:val="30"/>
          <w:highlight w:val="none"/>
          <w:lang w:val="en-US" w:eastAsia="zh-CN" w:bidi="ar"/>
        </w:rPr>
        <w:t>本标准设置了三个资料性附录：</w:t>
      </w:r>
    </w:p>
    <w:p w14:paraId="6E4FF3EB">
      <w:pPr>
        <w:tabs>
          <w:tab w:val="left" w:pos="790"/>
          <w:tab w:val="left" w:pos="1264"/>
        </w:tabs>
        <w:overflowPunct w:val="0"/>
        <w:adjustRightInd w:val="0"/>
        <w:snapToGrid w:val="0"/>
        <w:spacing w:before="157" w:beforeLines="50" w:line="360" w:lineRule="auto"/>
        <w:ind w:firstLine="643"/>
        <w:jc w:val="left"/>
        <w:rPr>
          <w:rFonts w:hint="eastAsia" w:eastAsia="仿宋" w:cs="Times New Roman"/>
          <w:color w:val="auto"/>
          <w:kern w:val="2"/>
          <w:sz w:val="30"/>
          <w:szCs w:val="30"/>
          <w:highlight w:val="none"/>
          <w:lang w:val="en-US" w:eastAsia="zh-CN" w:bidi="ar"/>
        </w:rPr>
      </w:pPr>
      <w:r>
        <w:rPr>
          <w:rFonts w:hint="eastAsia" w:eastAsia="仿宋" w:cs="Times New Roman"/>
          <w:color w:val="auto"/>
          <w:kern w:val="2"/>
          <w:sz w:val="30"/>
          <w:szCs w:val="30"/>
          <w:highlight w:val="none"/>
          <w:lang w:val="en-US" w:eastAsia="zh-CN" w:bidi="ar"/>
        </w:rPr>
        <w:t>附录A为园区异味管理计划（P-OMP）编制框架，给出了园区编制P-OMP的推荐结构，包括总则、组织架构与职责分工、园区异味源清单与风险分级、重点企业与公共异味源管控、监测预警与溯源管理、异常工况管理与联防联控、投诉处理与公众沟通、评估更新与持续改进等内容。</w:t>
      </w:r>
    </w:p>
    <w:p w14:paraId="55E0567B">
      <w:pPr>
        <w:tabs>
          <w:tab w:val="left" w:pos="790"/>
          <w:tab w:val="left" w:pos="1264"/>
        </w:tabs>
        <w:overflowPunct w:val="0"/>
        <w:adjustRightInd w:val="0"/>
        <w:snapToGrid w:val="0"/>
        <w:spacing w:before="157" w:beforeLines="50" w:line="360" w:lineRule="auto"/>
        <w:ind w:firstLine="643"/>
        <w:jc w:val="left"/>
        <w:rPr>
          <w:rFonts w:hint="eastAsia" w:eastAsia="仿宋" w:cs="Times New Roman"/>
          <w:color w:val="auto"/>
          <w:kern w:val="2"/>
          <w:sz w:val="30"/>
          <w:szCs w:val="30"/>
          <w:highlight w:val="none"/>
          <w:lang w:val="en-US" w:eastAsia="zh-CN" w:bidi="ar"/>
        </w:rPr>
      </w:pPr>
      <w:r>
        <w:rPr>
          <w:rFonts w:hint="eastAsia" w:eastAsia="仿宋" w:cs="Times New Roman"/>
          <w:color w:val="auto"/>
          <w:kern w:val="2"/>
          <w:sz w:val="30"/>
          <w:szCs w:val="30"/>
          <w:highlight w:val="none"/>
          <w:lang w:val="en-US" w:eastAsia="zh-CN" w:bidi="ar"/>
        </w:rPr>
        <w:t>附录B为无异味园区建设指标解释及判定说明，对第6章表1中22项建设指标逐项说明指标含义、判定思路和数据来源，便于创建主体开展自评和佐证材料准备。</w:t>
      </w:r>
    </w:p>
    <w:p w14:paraId="2CFE7CC4">
      <w:pPr>
        <w:tabs>
          <w:tab w:val="left" w:pos="790"/>
          <w:tab w:val="left" w:pos="1264"/>
        </w:tabs>
        <w:overflowPunct w:val="0"/>
        <w:adjustRightInd w:val="0"/>
        <w:snapToGrid w:val="0"/>
        <w:spacing w:before="157" w:beforeLines="50" w:line="360" w:lineRule="auto"/>
        <w:ind w:firstLine="643"/>
        <w:jc w:val="left"/>
        <w:rPr>
          <w:rFonts w:hint="default" w:eastAsia="仿宋" w:cs="Times New Roman"/>
          <w:color w:val="auto"/>
          <w:kern w:val="2"/>
          <w:sz w:val="30"/>
          <w:szCs w:val="30"/>
          <w:highlight w:val="none"/>
          <w:lang w:val="en-US" w:eastAsia="zh-CN" w:bidi="ar"/>
        </w:rPr>
      </w:pPr>
      <w:r>
        <w:rPr>
          <w:rFonts w:hint="eastAsia" w:eastAsia="仿宋" w:cs="Times New Roman"/>
          <w:color w:val="auto"/>
          <w:kern w:val="2"/>
          <w:sz w:val="30"/>
          <w:szCs w:val="30"/>
          <w:highlight w:val="none"/>
          <w:lang w:val="en-US" w:eastAsia="zh-CN" w:bidi="ar"/>
        </w:rPr>
        <w:t>附录C为无异味园区创建自评表，供创建主体开展自我检查、问题识别、整改跟踪和持续改进。附录C不设置总分、等级、合格线或认定结论，与本标准指导性文件定位保持一致。</w:t>
      </w:r>
    </w:p>
    <w:p w14:paraId="577FA98D">
      <w:pPr>
        <w:numPr>
          <w:ilvl w:val="0"/>
          <w:numId w:val="7"/>
        </w:numPr>
        <w:spacing w:before="157" w:beforeLines="50" w:line="360" w:lineRule="auto"/>
        <w:ind w:firstLine="640" w:firstLineChars="200"/>
        <w:jc w:val="left"/>
        <w:outlineLvl w:val="0"/>
        <w:rPr>
          <w:rFonts w:hint="eastAsia" w:ascii="黑体" w:hAnsi="黑体" w:eastAsia="黑体" w:cs="黑体"/>
          <w:color w:val="auto"/>
          <w:sz w:val="32"/>
          <w:szCs w:val="32"/>
        </w:rPr>
      </w:pPr>
      <w:bookmarkStart w:id="52" w:name="_Toc29740"/>
      <w:bookmarkStart w:id="53" w:name="_Toc16115"/>
      <w:bookmarkStart w:id="54" w:name="_Toc13252"/>
      <w:r>
        <w:rPr>
          <w:rFonts w:hint="eastAsia" w:ascii="黑体" w:hAnsi="黑体" w:eastAsia="黑体" w:cs="黑体"/>
          <w:color w:val="auto"/>
          <w:sz w:val="32"/>
          <w:szCs w:val="32"/>
        </w:rPr>
        <w:t>与国内外同类标准技术内容的对比情况</w:t>
      </w:r>
      <w:bookmarkEnd w:id="52"/>
      <w:bookmarkEnd w:id="53"/>
      <w:bookmarkEnd w:id="54"/>
    </w:p>
    <w:p w14:paraId="0B6D6ABD">
      <w:pPr>
        <w:pStyle w:val="2"/>
        <w:numPr>
          <w:ilvl w:val="-1"/>
          <w:numId w:val="0"/>
        </w:numPr>
        <w:adjustRightInd w:val="0"/>
        <w:snapToGrid w:val="0"/>
        <w:spacing w:before="313" w:beforeLines="100"/>
        <w:ind w:left="0" w:leftChars="0" w:firstLine="643" w:firstLineChars="200"/>
        <w:rPr>
          <w:rFonts w:hint="default"/>
          <w:color w:val="auto"/>
          <w:highlight w:val="none"/>
        </w:rPr>
      </w:pPr>
      <w:bookmarkStart w:id="55" w:name="_Toc4118"/>
      <w:bookmarkStart w:id="56" w:name="_Toc25454"/>
      <w:bookmarkStart w:id="57" w:name="_Toc5552"/>
      <w:bookmarkStart w:id="58" w:name="OLE_LINK14"/>
      <w:bookmarkStart w:id="59" w:name="_Toc7056"/>
      <w:bookmarkStart w:id="60" w:name="_Toc3879"/>
      <w:bookmarkStart w:id="61" w:name="_Toc31083"/>
      <w:r>
        <w:rPr>
          <w:rFonts w:hint="default"/>
          <w:color w:val="auto"/>
          <w:highlight w:val="none"/>
        </w:rPr>
        <w:t>（</w:t>
      </w:r>
      <w:r>
        <w:rPr>
          <w:rFonts w:hint="default"/>
          <w:color w:val="auto"/>
          <w:highlight w:val="none"/>
          <w:lang w:val="en-US" w:eastAsia="zh-CN"/>
        </w:rPr>
        <w:t>一</w:t>
      </w:r>
      <w:r>
        <w:rPr>
          <w:rFonts w:hint="default"/>
          <w:color w:val="auto"/>
          <w:highlight w:val="none"/>
        </w:rPr>
        <w:t>）和国内标准的对比</w:t>
      </w:r>
      <w:bookmarkEnd w:id="55"/>
      <w:bookmarkEnd w:id="56"/>
      <w:bookmarkEnd w:id="57"/>
      <w:bookmarkEnd w:id="58"/>
      <w:bookmarkEnd w:id="59"/>
      <w:bookmarkEnd w:id="60"/>
      <w:bookmarkEnd w:id="61"/>
    </w:p>
    <w:p w14:paraId="2721E17A">
      <w:pPr>
        <w:spacing w:before="157" w:beforeLines="50" w:line="360" w:lineRule="auto"/>
        <w:ind w:firstLine="600" w:firstLineChars="200"/>
        <w:jc w:val="left"/>
        <w:rPr>
          <w:rFonts w:hint="default" w:eastAsia="仿宋"/>
          <w:color w:val="auto"/>
          <w:sz w:val="30"/>
          <w:szCs w:val="30"/>
          <w:highlight w:val="none"/>
          <w:lang w:val="en-US" w:eastAsia="zh-CN" w:bidi="ar"/>
        </w:rPr>
      </w:pPr>
      <w:r>
        <w:rPr>
          <w:rFonts w:hint="default" w:eastAsia="仿宋"/>
          <w:color w:val="auto"/>
          <w:sz w:val="30"/>
          <w:szCs w:val="30"/>
          <w:highlight w:val="none"/>
          <w:lang w:val="en-US" w:eastAsia="zh-CN" w:bidi="ar"/>
        </w:rPr>
        <w:t>我国现行恶臭异味相关标准主要包括《恶臭污染物排放标准》（GB</w:t>
      </w:r>
      <w:r>
        <w:rPr>
          <w:rFonts w:hint="eastAsia" w:eastAsia="仿宋"/>
          <w:color w:val="auto"/>
          <w:sz w:val="30"/>
          <w:szCs w:val="30"/>
          <w:highlight w:val="none"/>
          <w:lang w:val="en-US" w:eastAsia="zh-CN" w:bidi="ar"/>
        </w:rPr>
        <w:t xml:space="preserve"> </w:t>
      </w:r>
      <w:r>
        <w:rPr>
          <w:rFonts w:hint="default" w:eastAsia="仿宋"/>
          <w:color w:val="auto"/>
          <w:sz w:val="30"/>
          <w:szCs w:val="30"/>
          <w:highlight w:val="none"/>
          <w:lang w:val="en-US" w:eastAsia="zh-CN" w:bidi="ar"/>
        </w:rPr>
        <w:t>14554）、《恶臭污染环境监测技术规范》（HJ</w:t>
      </w:r>
      <w:r>
        <w:rPr>
          <w:rFonts w:hint="eastAsia" w:eastAsia="仿宋"/>
          <w:color w:val="auto"/>
          <w:sz w:val="30"/>
          <w:szCs w:val="30"/>
          <w:highlight w:val="none"/>
          <w:lang w:val="en-US" w:eastAsia="zh-CN" w:bidi="ar"/>
        </w:rPr>
        <w:t xml:space="preserve"> </w:t>
      </w:r>
      <w:r>
        <w:rPr>
          <w:rFonts w:hint="default" w:eastAsia="仿宋"/>
          <w:color w:val="auto"/>
          <w:sz w:val="30"/>
          <w:szCs w:val="30"/>
          <w:highlight w:val="none"/>
          <w:lang w:val="en-US" w:eastAsia="zh-CN" w:bidi="ar"/>
        </w:rPr>
        <w:t>905）、《大气污染物无组织排放监测技术导则》（HJ/T</w:t>
      </w:r>
      <w:r>
        <w:rPr>
          <w:rFonts w:hint="eastAsia" w:eastAsia="仿宋"/>
          <w:color w:val="auto"/>
          <w:sz w:val="30"/>
          <w:szCs w:val="30"/>
          <w:highlight w:val="none"/>
          <w:lang w:val="en-US" w:eastAsia="zh-CN" w:bidi="ar"/>
        </w:rPr>
        <w:t xml:space="preserve"> </w:t>
      </w:r>
      <w:r>
        <w:rPr>
          <w:rFonts w:hint="default" w:eastAsia="仿宋"/>
          <w:color w:val="auto"/>
          <w:sz w:val="30"/>
          <w:szCs w:val="30"/>
          <w:highlight w:val="none"/>
          <w:lang w:val="en-US" w:eastAsia="zh-CN" w:bidi="ar"/>
        </w:rPr>
        <w:t>55）、《泄漏和敞开液面排放的挥发性有机物检测技术导则》（HJ</w:t>
      </w:r>
      <w:r>
        <w:rPr>
          <w:rFonts w:hint="eastAsia" w:eastAsia="仿宋"/>
          <w:color w:val="auto"/>
          <w:sz w:val="30"/>
          <w:szCs w:val="30"/>
          <w:highlight w:val="none"/>
          <w:lang w:val="en-US" w:eastAsia="zh-CN" w:bidi="ar"/>
        </w:rPr>
        <w:t xml:space="preserve"> </w:t>
      </w:r>
      <w:r>
        <w:rPr>
          <w:rFonts w:hint="default" w:eastAsia="仿宋"/>
          <w:color w:val="auto"/>
          <w:sz w:val="30"/>
          <w:szCs w:val="30"/>
          <w:highlight w:val="none"/>
          <w:lang w:val="en-US" w:eastAsia="zh-CN" w:bidi="ar"/>
        </w:rPr>
        <w:t>733）、《工业企业挥发性有机物泄漏检测与修复技术指南》（HJ</w:t>
      </w:r>
      <w:r>
        <w:rPr>
          <w:rFonts w:hint="eastAsia" w:eastAsia="仿宋"/>
          <w:color w:val="auto"/>
          <w:sz w:val="30"/>
          <w:szCs w:val="30"/>
          <w:highlight w:val="none"/>
          <w:lang w:val="en-US" w:eastAsia="zh-CN" w:bidi="ar"/>
        </w:rPr>
        <w:t xml:space="preserve"> </w:t>
      </w:r>
      <w:r>
        <w:rPr>
          <w:rFonts w:hint="default" w:eastAsia="仿宋"/>
          <w:color w:val="auto"/>
          <w:sz w:val="30"/>
          <w:szCs w:val="30"/>
          <w:highlight w:val="none"/>
          <w:lang w:val="en-US" w:eastAsia="zh-CN" w:bidi="ar"/>
        </w:rPr>
        <w:t>1230）等。这些文件分别从排放限值、监测方法、无组织排放监测、泄漏检测与修复等方面提供了技术依据。</w:t>
      </w:r>
    </w:p>
    <w:p w14:paraId="1F56513F">
      <w:pPr>
        <w:spacing w:before="157" w:beforeLines="50" w:line="360" w:lineRule="auto"/>
        <w:ind w:firstLine="600" w:firstLineChars="200"/>
        <w:jc w:val="left"/>
        <w:rPr>
          <w:rFonts w:hint="default" w:eastAsia="仿宋"/>
          <w:color w:val="auto"/>
          <w:sz w:val="30"/>
          <w:szCs w:val="30"/>
          <w:highlight w:val="none"/>
          <w:lang w:val="en-US" w:eastAsia="zh-CN" w:bidi="ar"/>
        </w:rPr>
      </w:pPr>
      <w:r>
        <w:rPr>
          <w:rFonts w:hint="default" w:eastAsia="仿宋"/>
          <w:color w:val="auto"/>
          <w:sz w:val="30"/>
          <w:szCs w:val="30"/>
          <w:highlight w:val="none"/>
          <w:lang w:val="en-US" w:eastAsia="zh-CN" w:bidi="ar"/>
        </w:rPr>
        <w:t>与上述标准相比，本标准具有以下特点：</w:t>
      </w:r>
    </w:p>
    <w:p w14:paraId="4596F6C4">
      <w:pPr>
        <w:spacing w:before="157" w:beforeLines="50" w:line="360" w:lineRule="auto"/>
        <w:ind w:firstLine="600" w:firstLineChars="200"/>
        <w:jc w:val="left"/>
        <w:rPr>
          <w:rFonts w:hint="default" w:eastAsia="仿宋"/>
          <w:color w:val="auto"/>
          <w:sz w:val="30"/>
          <w:szCs w:val="30"/>
          <w:highlight w:val="none"/>
          <w:lang w:val="en-US" w:eastAsia="zh-CN" w:bidi="ar"/>
        </w:rPr>
      </w:pPr>
      <w:r>
        <w:rPr>
          <w:rFonts w:hint="default" w:eastAsia="仿宋"/>
          <w:color w:val="auto"/>
          <w:sz w:val="30"/>
          <w:szCs w:val="30"/>
          <w:highlight w:val="none"/>
          <w:lang w:val="en-US" w:eastAsia="zh-CN" w:bidi="ar"/>
        </w:rPr>
        <w:t>一是标准定位不同。现有标准主要解决恶臭污染物排放限值、监测方法、无组织排放监测或特定污染源管理要求等问题，本标准面向无异味园区创建，重点解决园区如何建立异味污染协同管控体系的问题。</w:t>
      </w:r>
    </w:p>
    <w:p w14:paraId="3A3099E0">
      <w:pPr>
        <w:spacing w:before="157" w:beforeLines="50" w:line="360" w:lineRule="auto"/>
        <w:ind w:firstLine="600" w:firstLineChars="200"/>
        <w:jc w:val="left"/>
        <w:rPr>
          <w:rFonts w:hint="default" w:eastAsia="仿宋"/>
          <w:color w:val="auto"/>
          <w:sz w:val="30"/>
          <w:szCs w:val="30"/>
          <w:highlight w:val="none"/>
          <w:lang w:val="en-US" w:eastAsia="zh-CN" w:bidi="ar"/>
        </w:rPr>
      </w:pPr>
      <w:r>
        <w:rPr>
          <w:rFonts w:hint="default" w:eastAsia="仿宋"/>
          <w:color w:val="auto"/>
          <w:sz w:val="30"/>
          <w:szCs w:val="30"/>
          <w:highlight w:val="none"/>
          <w:lang w:val="en-US" w:eastAsia="zh-CN" w:bidi="ar"/>
        </w:rPr>
        <w:t>二是适用尺度不同。现有标准多从污染源、监测点位或企业管理角度提出要求，本标准聚焦园区尺度，强调园区管理边界、重点企业、公共异味源、园区边界、周边敏感目标和投诉关联区域之间的系统关系。</w:t>
      </w:r>
    </w:p>
    <w:p w14:paraId="082CAB20">
      <w:pPr>
        <w:spacing w:before="157" w:beforeLines="50" w:line="360" w:lineRule="auto"/>
        <w:ind w:firstLine="600" w:firstLineChars="200"/>
        <w:jc w:val="left"/>
        <w:rPr>
          <w:rFonts w:hint="default" w:eastAsia="仿宋"/>
          <w:color w:val="auto"/>
          <w:sz w:val="30"/>
          <w:szCs w:val="30"/>
          <w:highlight w:val="none"/>
          <w:lang w:val="en-US" w:eastAsia="zh-CN" w:bidi="ar"/>
        </w:rPr>
      </w:pPr>
      <w:r>
        <w:rPr>
          <w:rFonts w:hint="default" w:eastAsia="仿宋"/>
          <w:color w:val="auto"/>
          <w:sz w:val="30"/>
          <w:szCs w:val="30"/>
          <w:highlight w:val="none"/>
          <w:lang w:val="en-US" w:eastAsia="zh-CN" w:bidi="ar"/>
        </w:rPr>
        <w:t>三是治理对象更综合。本标准不仅关注园区内企业异味源，还将集中污水处理设施、污泥处理或暂存设施、固体废物和危险废物集中贮存或转运设施、公共管廊、泵站、检查井、事故应急池等公共异味源纳入管理范围，突出园区公共设施异味风险防控。</w:t>
      </w:r>
    </w:p>
    <w:p w14:paraId="1BFA193F">
      <w:pPr>
        <w:spacing w:before="157" w:beforeLines="50" w:line="360" w:lineRule="auto"/>
        <w:ind w:firstLine="600" w:firstLineChars="200"/>
        <w:jc w:val="left"/>
        <w:rPr>
          <w:rFonts w:hint="default" w:eastAsia="仿宋"/>
          <w:color w:val="auto"/>
          <w:sz w:val="30"/>
          <w:szCs w:val="30"/>
          <w:highlight w:val="none"/>
          <w:lang w:val="en-US" w:eastAsia="zh-CN" w:bidi="ar"/>
        </w:rPr>
      </w:pPr>
      <w:r>
        <w:rPr>
          <w:rFonts w:hint="default" w:eastAsia="仿宋"/>
          <w:color w:val="auto"/>
          <w:sz w:val="30"/>
          <w:szCs w:val="30"/>
          <w:highlight w:val="none"/>
          <w:lang w:val="en-US" w:eastAsia="zh-CN" w:bidi="ar"/>
        </w:rPr>
        <w:t>四是管理机制更突出。本标准设置园区异味源清单、风险分级、边界监测、投诉溯源、异常工况联防联控和P-OMP持续改进等内容，推动园区从单个企业分散治理转向多主体协同治理。</w:t>
      </w:r>
    </w:p>
    <w:p w14:paraId="7418858A">
      <w:pPr>
        <w:spacing w:before="157" w:beforeLines="50" w:line="360" w:lineRule="auto"/>
        <w:ind w:firstLine="600" w:firstLineChars="200"/>
        <w:jc w:val="left"/>
        <w:rPr>
          <w:rFonts w:hint="default" w:eastAsia="仿宋"/>
          <w:color w:val="auto"/>
          <w:sz w:val="30"/>
          <w:szCs w:val="30"/>
          <w:highlight w:val="none"/>
          <w:lang w:val="en-US" w:eastAsia="zh-CN" w:bidi="ar"/>
        </w:rPr>
      </w:pPr>
      <w:r>
        <w:rPr>
          <w:rFonts w:hint="default" w:eastAsia="仿宋"/>
          <w:color w:val="auto"/>
          <w:sz w:val="30"/>
          <w:szCs w:val="30"/>
          <w:highlight w:val="none"/>
          <w:lang w:val="en-US" w:eastAsia="zh-CN" w:bidi="ar"/>
        </w:rPr>
        <w:t>五是与《无异味工厂创建技术指南》形成互补。《无异味工厂创建技术指南》侧重企业内部异味污染全过程控制，本标准侧重园区尺度的统筹管理、公共异味源管控、边界监测预警、投诉溯源和联防联控。二者相互衔接、功能互补，共同支撑无异味创建工作。</w:t>
      </w:r>
    </w:p>
    <w:p w14:paraId="3920EFD5">
      <w:pPr>
        <w:pStyle w:val="2"/>
        <w:numPr>
          <w:ilvl w:val="-1"/>
          <w:numId w:val="0"/>
        </w:numPr>
        <w:adjustRightInd w:val="0"/>
        <w:snapToGrid w:val="0"/>
        <w:spacing w:before="313" w:beforeLines="100"/>
        <w:ind w:left="0" w:leftChars="0" w:firstLine="643" w:firstLineChars="200"/>
        <w:rPr>
          <w:rFonts w:hint="default" w:eastAsia="仿宋"/>
          <w:color w:val="auto"/>
          <w:highlight w:val="none"/>
          <w:lang w:val="en-US" w:eastAsia="zh-CN"/>
        </w:rPr>
      </w:pPr>
      <w:bookmarkStart w:id="62" w:name="_Toc1503"/>
      <w:bookmarkStart w:id="63" w:name="_Toc29196"/>
      <w:bookmarkStart w:id="64" w:name="_Toc31999"/>
      <w:bookmarkStart w:id="65" w:name="_Toc28332"/>
      <w:bookmarkStart w:id="66" w:name="_Toc31937"/>
      <w:bookmarkStart w:id="67" w:name="_Toc20495"/>
      <w:bookmarkStart w:id="68" w:name="_Toc27663"/>
      <w:r>
        <w:rPr>
          <w:color w:val="auto"/>
          <w:highlight w:val="none"/>
        </w:rPr>
        <w:t>（</w:t>
      </w:r>
      <w:r>
        <w:rPr>
          <w:rFonts w:hint="eastAsia"/>
          <w:color w:val="auto"/>
          <w:highlight w:val="none"/>
          <w:lang w:val="en-US" w:eastAsia="zh-CN"/>
        </w:rPr>
        <w:t>二</w:t>
      </w:r>
      <w:r>
        <w:rPr>
          <w:color w:val="auto"/>
          <w:highlight w:val="none"/>
        </w:rPr>
        <w:t>）</w:t>
      </w:r>
      <w:r>
        <w:rPr>
          <w:rFonts w:hint="eastAsia"/>
          <w:color w:val="auto"/>
          <w:highlight w:val="none"/>
        </w:rPr>
        <w:t>和国</w:t>
      </w:r>
      <w:r>
        <w:rPr>
          <w:rFonts w:hint="eastAsia"/>
          <w:color w:val="auto"/>
          <w:highlight w:val="none"/>
          <w:lang w:val="en-US" w:eastAsia="zh-CN"/>
        </w:rPr>
        <w:t>外</w:t>
      </w:r>
      <w:r>
        <w:rPr>
          <w:rFonts w:hint="eastAsia"/>
          <w:color w:val="auto"/>
          <w:highlight w:val="none"/>
        </w:rPr>
        <w:t>标准的对比</w:t>
      </w:r>
      <w:bookmarkEnd w:id="62"/>
      <w:bookmarkEnd w:id="63"/>
      <w:bookmarkEnd w:id="64"/>
    </w:p>
    <w:bookmarkEnd w:id="65"/>
    <w:bookmarkEnd w:id="66"/>
    <w:bookmarkEnd w:id="67"/>
    <w:bookmarkEnd w:id="68"/>
    <w:p w14:paraId="1456646C">
      <w:pPr>
        <w:spacing w:before="157" w:beforeLines="50" w:line="360" w:lineRule="auto"/>
        <w:ind w:firstLine="600" w:firstLineChars="200"/>
        <w:jc w:val="left"/>
        <w:rPr>
          <w:rFonts w:hint="eastAsia" w:ascii="Times New Roman" w:hAnsi="Times New Roman" w:eastAsia="仿宋" w:cs="Times New Roman"/>
          <w:color w:val="auto"/>
          <w:kern w:val="2"/>
          <w:sz w:val="30"/>
          <w:szCs w:val="30"/>
          <w:highlight w:val="none"/>
          <w:lang w:val="en-US" w:eastAsia="zh-CN" w:bidi="ar"/>
        </w:rPr>
      </w:pPr>
      <w:r>
        <w:rPr>
          <w:rFonts w:hint="eastAsia" w:ascii="Times New Roman" w:hAnsi="Times New Roman" w:eastAsia="仿宋" w:cs="Times New Roman"/>
          <w:color w:val="auto"/>
          <w:kern w:val="2"/>
          <w:sz w:val="30"/>
          <w:szCs w:val="30"/>
          <w:highlight w:val="none"/>
          <w:lang w:val="en-US" w:eastAsia="zh-CN" w:bidi="ar"/>
        </w:rPr>
        <w:t>国外异味污染防控普遍重视基于风险的异味管理，强调源—路径—受体分析、OMP、边界监测、投诉响应、异常工况管理、记录留痕和定期审查等内容。相关经验表明，工业集聚区域的异味治理不能仅依赖单个企业末端治理设施建设，还需要将多源识别、监测预警、投诉溯源、公众沟通和持续改进纳入区域或园区环境管理体系。</w:t>
      </w:r>
    </w:p>
    <w:p w14:paraId="62E8B84A">
      <w:pPr>
        <w:spacing w:before="157" w:beforeLines="50" w:line="360" w:lineRule="auto"/>
        <w:ind w:firstLine="600" w:firstLineChars="200"/>
        <w:jc w:val="left"/>
        <w:rPr>
          <w:rFonts w:hint="eastAsia" w:ascii="Times New Roman" w:hAnsi="Times New Roman" w:eastAsia="仿宋" w:cs="Times New Roman"/>
          <w:color w:val="auto"/>
          <w:kern w:val="2"/>
          <w:sz w:val="30"/>
          <w:szCs w:val="30"/>
          <w:highlight w:val="none"/>
          <w:lang w:val="en-US" w:eastAsia="zh-CN" w:bidi="ar"/>
        </w:rPr>
      </w:pPr>
      <w:r>
        <w:rPr>
          <w:rFonts w:hint="eastAsia" w:ascii="Times New Roman" w:hAnsi="Times New Roman" w:eastAsia="仿宋" w:cs="Times New Roman"/>
          <w:color w:val="auto"/>
          <w:kern w:val="2"/>
          <w:sz w:val="30"/>
          <w:szCs w:val="30"/>
          <w:highlight w:val="none"/>
          <w:lang w:val="en-US" w:eastAsia="zh-CN" w:bidi="ar"/>
        </w:rPr>
        <w:t>本标准借鉴了国外异味管理计划、风险识别、边界监测、投诉响应和持续改进等理念，但没有机械照搬国外许可管理、认证评价或行政管制模式，而是结合我国工业园区管理实际和无异味园区创建需求，形成了具有本土适用性的园区级P-OMP框架和创建技术要求。</w:t>
      </w:r>
    </w:p>
    <w:p w14:paraId="339E6F4C">
      <w:pPr>
        <w:spacing w:before="157" w:beforeLines="50" w:line="360" w:lineRule="auto"/>
        <w:ind w:firstLine="600" w:firstLineChars="200"/>
        <w:jc w:val="left"/>
        <w:rPr>
          <w:rFonts w:hint="eastAsia" w:ascii="Times New Roman" w:hAnsi="Times New Roman" w:eastAsia="仿宋" w:cs="Times New Roman"/>
          <w:color w:val="auto"/>
          <w:kern w:val="2"/>
          <w:sz w:val="30"/>
          <w:szCs w:val="30"/>
          <w:highlight w:val="none"/>
          <w:lang w:val="en-US" w:eastAsia="zh-CN" w:bidi="ar"/>
        </w:rPr>
      </w:pPr>
      <w:r>
        <w:rPr>
          <w:rFonts w:hint="eastAsia" w:ascii="Times New Roman" w:hAnsi="Times New Roman" w:eastAsia="仿宋" w:cs="Times New Roman"/>
          <w:color w:val="auto"/>
          <w:kern w:val="2"/>
          <w:sz w:val="30"/>
          <w:szCs w:val="30"/>
          <w:highlight w:val="none"/>
          <w:lang w:val="en-US" w:eastAsia="zh-CN" w:bidi="ar"/>
        </w:rPr>
        <w:t>与国外相关经验相比，本标准的特点在于：</w:t>
      </w:r>
    </w:p>
    <w:p w14:paraId="1C4A6516">
      <w:pPr>
        <w:spacing w:before="157" w:beforeLines="50" w:line="360" w:lineRule="auto"/>
        <w:ind w:firstLine="600" w:firstLineChars="200"/>
        <w:jc w:val="left"/>
        <w:rPr>
          <w:rFonts w:hint="eastAsia" w:ascii="Times New Roman" w:hAnsi="Times New Roman" w:eastAsia="仿宋" w:cs="Times New Roman"/>
          <w:color w:val="auto"/>
          <w:kern w:val="2"/>
          <w:sz w:val="30"/>
          <w:szCs w:val="30"/>
          <w:highlight w:val="none"/>
          <w:lang w:val="en-US" w:eastAsia="zh-CN" w:bidi="ar"/>
        </w:rPr>
      </w:pPr>
      <w:r>
        <w:rPr>
          <w:rFonts w:hint="eastAsia" w:ascii="Times New Roman" w:hAnsi="Times New Roman" w:eastAsia="仿宋" w:cs="Times New Roman"/>
          <w:color w:val="auto"/>
          <w:kern w:val="2"/>
          <w:sz w:val="30"/>
          <w:szCs w:val="30"/>
          <w:highlight w:val="none"/>
          <w:lang w:val="en-US" w:eastAsia="zh-CN" w:bidi="ar"/>
        </w:rPr>
        <w:t>一是突出园区管理机构或运营管理单位的统筹协调作用，明确园区内企业和公共设施运营单位的协同责任；</w:t>
      </w:r>
    </w:p>
    <w:p w14:paraId="7FC9AD31">
      <w:pPr>
        <w:spacing w:before="157" w:beforeLines="50" w:line="360" w:lineRule="auto"/>
        <w:ind w:firstLine="600" w:firstLineChars="200"/>
        <w:jc w:val="left"/>
        <w:rPr>
          <w:rFonts w:hint="eastAsia" w:ascii="Times New Roman" w:hAnsi="Times New Roman" w:eastAsia="仿宋" w:cs="Times New Roman"/>
          <w:color w:val="auto"/>
          <w:kern w:val="2"/>
          <w:sz w:val="30"/>
          <w:szCs w:val="30"/>
          <w:highlight w:val="none"/>
          <w:lang w:val="en-US" w:eastAsia="zh-CN" w:bidi="ar"/>
        </w:rPr>
      </w:pPr>
      <w:r>
        <w:rPr>
          <w:rFonts w:hint="eastAsia" w:ascii="Times New Roman" w:hAnsi="Times New Roman" w:eastAsia="仿宋" w:cs="Times New Roman"/>
          <w:color w:val="auto"/>
          <w:kern w:val="2"/>
          <w:sz w:val="30"/>
          <w:szCs w:val="30"/>
          <w:highlight w:val="none"/>
          <w:lang w:val="en-US" w:eastAsia="zh-CN" w:bidi="ar"/>
        </w:rPr>
        <w:t>二是将公共异味源作为园区异味治理的重要对象，强化集中污水处理、污泥暂存、固废危废转运、泵站、检查井、事故池等环节的异味风险管控；</w:t>
      </w:r>
    </w:p>
    <w:p w14:paraId="23B2C1CA">
      <w:pPr>
        <w:spacing w:before="157" w:beforeLines="50" w:line="360" w:lineRule="auto"/>
        <w:ind w:firstLine="600" w:firstLineChars="200"/>
        <w:jc w:val="left"/>
        <w:rPr>
          <w:rFonts w:hint="eastAsia" w:ascii="Times New Roman" w:hAnsi="Times New Roman" w:eastAsia="仿宋" w:cs="Times New Roman"/>
          <w:color w:val="auto"/>
          <w:kern w:val="2"/>
          <w:sz w:val="30"/>
          <w:szCs w:val="30"/>
          <w:highlight w:val="none"/>
          <w:lang w:val="en-US" w:eastAsia="zh-CN" w:bidi="ar"/>
        </w:rPr>
      </w:pPr>
      <w:r>
        <w:rPr>
          <w:rFonts w:hint="eastAsia" w:ascii="Times New Roman" w:hAnsi="Times New Roman" w:eastAsia="仿宋" w:cs="Times New Roman"/>
          <w:color w:val="auto"/>
          <w:kern w:val="2"/>
          <w:sz w:val="30"/>
          <w:szCs w:val="30"/>
          <w:highlight w:val="none"/>
          <w:lang w:val="en-US" w:eastAsia="zh-CN" w:bidi="ar"/>
        </w:rPr>
        <w:t>三是突出投诉溯源和异常工况联防联控，适应我国工业园区多企业、多源叠加和周边敏感目标复杂的现实情况；</w:t>
      </w:r>
    </w:p>
    <w:p w14:paraId="71DF38B1">
      <w:pPr>
        <w:spacing w:before="157" w:beforeLines="50" w:line="360" w:lineRule="auto"/>
        <w:ind w:firstLine="600" w:firstLineChars="200"/>
        <w:jc w:val="left"/>
        <w:rPr>
          <w:rFonts w:hint="default" w:ascii="Times New Roman" w:hAnsi="Times New Roman" w:eastAsia="仿宋" w:cs="Times New Roman"/>
          <w:color w:val="auto"/>
          <w:kern w:val="2"/>
          <w:sz w:val="30"/>
          <w:szCs w:val="30"/>
          <w:highlight w:val="none"/>
          <w:lang w:val="en-US" w:eastAsia="zh-CN" w:bidi="ar"/>
        </w:rPr>
      </w:pPr>
      <w:r>
        <w:rPr>
          <w:rFonts w:hint="eastAsia" w:ascii="Times New Roman" w:hAnsi="Times New Roman" w:eastAsia="仿宋" w:cs="Times New Roman"/>
          <w:color w:val="auto"/>
          <w:kern w:val="2"/>
          <w:sz w:val="30"/>
          <w:szCs w:val="30"/>
          <w:highlight w:val="none"/>
          <w:lang w:val="en-US" w:eastAsia="zh-CN" w:bidi="ar"/>
        </w:rPr>
        <w:t>四是通过资料性附录提供P-OMP编制框架、建设指标解释和自评表，增强标准落地应用的便利性。</w:t>
      </w:r>
    </w:p>
    <w:p w14:paraId="77FE19AC">
      <w:pPr>
        <w:spacing w:before="157" w:beforeLines="50" w:line="360" w:lineRule="auto"/>
        <w:ind w:firstLine="640" w:firstLineChars="200"/>
        <w:jc w:val="left"/>
        <w:outlineLvl w:val="0"/>
        <w:rPr>
          <w:rFonts w:ascii="黑体" w:hAnsi="黑体" w:eastAsia="黑体" w:cs="黑体"/>
          <w:color w:val="auto"/>
          <w:sz w:val="32"/>
          <w:szCs w:val="32"/>
        </w:rPr>
      </w:pPr>
      <w:bookmarkStart w:id="69" w:name="_Toc29604"/>
      <w:bookmarkStart w:id="70" w:name="_Toc28026"/>
      <w:bookmarkStart w:id="71" w:name="_Toc16533"/>
      <w:bookmarkStart w:id="72" w:name="_Toc17922"/>
      <w:bookmarkStart w:id="73" w:name="_Toc18109"/>
      <w:bookmarkStart w:id="74" w:name="_Toc11500"/>
      <w:bookmarkStart w:id="75" w:name="_Toc8159"/>
      <w:bookmarkStart w:id="76" w:name="_Toc27596"/>
      <w:r>
        <w:rPr>
          <w:rFonts w:hint="eastAsia" w:ascii="黑体" w:hAnsi="黑体" w:eastAsia="黑体" w:cs="黑体"/>
          <w:color w:val="auto"/>
          <w:sz w:val="32"/>
          <w:szCs w:val="32"/>
        </w:rPr>
        <w:t>七、与有关法律、行政法规及相关标准的关系</w:t>
      </w:r>
      <w:bookmarkEnd w:id="69"/>
      <w:bookmarkEnd w:id="70"/>
      <w:bookmarkEnd w:id="71"/>
    </w:p>
    <w:p w14:paraId="342579B6">
      <w:pPr>
        <w:keepNext w:val="0"/>
        <w:keepLines w:val="0"/>
        <w:widowControl w:val="0"/>
        <w:suppressLineNumbers w:val="0"/>
        <w:spacing w:before="157" w:beforeLines="50" w:line="360" w:lineRule="auto"/>
        <w:ind w:firstLine="600" w:firstLineChars="200"/>
        <w:jc w:val="left"/>
        <w:rPr>
          <w:rFonts w:hint="eastAsia" w:eastAsia="仿宋" w:cs="Times New Roman"/>
          <w:color w:val="auto"/>
          <w:kern w:val="2"/>
          <w:sz w:val="30"/>
          <w:szCs w:val="30"/>
          <w:highlight w:val="none"/>
          <w:lang w:val="en-US" w:eastAsia="zh-CN" w:bidi="ar"/>
        </w:rPr>
      </w:pPr>
      <w:r>
        <w:rPr>
          <w:rFonts w:hint="eastAsia" w:eastAsia="仿宋" w:cs="Times New Roman"/>
          <w:color w:val="auto"/>
          <w:kern w:val="2"/>
          <w:sz w:val="30"/>
          <w:szCs w:val="30"/>
          <w:highlight w:val="none"/>
          <w:lang w:val="en-US" w:eastAsia="zh-CN" w:bidi="ar"/>
        </w:rPr>
        <w:t>本标准与《中华人民共和国大气污染防治法》等法律法规要求相衔接。《中华人民共和国大气污染防治法》明确，企业事业单位和其他生产经营者在生产经营活动中产生恶臭气体的，应当科学选址，设置合理的防护距离，并安装净化装置或者采取其他措施，防止排放恶臭气体。</w:t>
      </w:r>
    </w:p>
    <w:p w14:paraId="3D401C2D">
      <w:pPr>
        <w:keepNext w:val="0"/>
        <w:keepLines w:val="0"/>
        <w:widowControl w:val="0"/>
        <w:suppressLineNumbers w:val="0"/>
        <w:spacing w:before="157" w:beforeLines="50" w:line="360" w:lineRule="auto"/>
        <w:ind w:firstLine="600" w:firstLineChars="200"/>
        <w:jc w:val="left"/>
        <w:rPr>
          <w:rFonts w:hint="eastAsia" w:eastAsia="仿宋" w:cs="Times New Roman"/>
          <w:color w:val="auto"/>
          <w:kern w:val="2"/>
          <w:sz w:val="30"/>
          <w:szCs w:val="30"/>
          <w:highlight w:val="none"/>
          <w:lang w:val="en-US" w:eastAsia="zh-CN" w:bidi="ar"/>
        </w:rPr>
      </w:pPr>
      <w:r>
        <w:rPr>
          <w:rFonts w:hint="eastAsia" w:eastAsia="仿宋" w:cs="Times New Roman"/>
          <w:color w:val="auto"/>
          <w:kern w:val="2"/>
          <w:sz w:val="30"/>
          <w:szCs w:val="30"/>
          <w:highlight w:val="none"/>
          <w:lang w:val="en-US" w:eastAsia="zh-CN" w:bidi="ar"/>
        </w:rPr>
        <w:t>本标准与GB 14554、HJ 905、HJ/T 55、HJ 733、HJ 1230、T/ACEF 207等现行标准规范相衔接。标准中关于臭气浓度、恶臭监测、无组织排放监测、VOCs泄漏检测与修复、工业有机废气收集等内容均未替代现行标准要求，而是在无异味园区创建场景下进行系统集成和应用引导。</w:t>
      </w:r>
    </w:p>
    <w:p w14:paraId="71E32A0C">
      <w:pPr>
        <w:widowControl w:val="0"/>
        <w:spacing w:before="0" w:beforeLines="0" w:line="360" w:lineRule="auto"/>
        <w:ind w:firstLine="600" w:firstLineChars="200"/>
        <w:jc w:val="both"/>
        <w:rPr>
          <w:rFonts w:hint="default" w:ascii="Times New Roman" w:eastAsia="仿宋"/>
          <w:color w:val="auto"/>
          <w:sz w:val="30"/>
          <w:szCs w:val="30"/>
          <w:highlight w:val="none"/>
          <w:lang w:val="en-US" w:eastAsia="zh-CN" w:bidi="ar"/>
        </w:rPr>
      </w:pPr>
      <w:r>
        <w:rPr>
          <w:rFonts w:hint="eastAsia" w:eastAsia="仿宋" w:cs="Times New Roman"/>
          <w:color w:val="auto"/>
          <w:kern w:val="2"/>
          <w:sz w:val="30"/>
          <w:szCs w:val="30"/>
          <w:highlight w:val="none"/>
          <w:lang w:val="en-US" w:eastAsia="zh-CN" w:bidi="ar"/>
        </w:rPr>
        <w:t>本标准为团体标准和指导性文件，不设置与现行法律法规、强制性标准相冲突的条款，不替代排污许可、环境影响评价、竣工环境保护验收、生态环境执法和法定监测要求。园区在实施本标准过程中，应同时遵守国家和地方现行法律法规、排放标准、排污许可和生态环境管理要求。园区内企业仍应依法落实异味污染防治主体责任，园区管理机构或运营管理单位应根据自身职责做好统筹协调、公共设施管理、监测预警、投诉溯源和持续改进等工作</w:t>
      </w:r>
      <w:r>
        <w:rPr>
          <w:rFonts w:hint="default" w:ascii="Times New Roman" w:eastAsia="仿宋"/>
          <w:color w:val="auto"/>
          <w:sz w:val="30"/>
          <w:szCs w:val="30"/>
          <w:highlight w:val="none"/>
          <w:lang w:val="en-US" w:eastAsia="zh-CN" w:bidi="ar"/>
        </w:rPr>
        <w:t>。</w:t>
      </w:r>
    </w:p>
    <w:p w14:paraId="4845D9EF">
      <w:pPr>
        <w:spacing w:line="360" w:lineRule="auto"/>
        <w:ind w:firstLine="640" w:firstLineChars="200"/>
        <w:jc w:val="left"/>
        <w:outlineLvl w:val="0"/>
        <w:rPr>
          <w:rFonts w:hint="eastAsia" w:ascii="黑体" w:hAnsi="黑体" w:eastAsia="黑体" w:cs="黑体"/>
          <w:color w:val="auto"/>
          <w:sz w:val="32"/>
          <w:szCs w:val="32"/>
        </w:rPr>
      </w:pPr>
      <w:bookmarkStart w:id="77" w:name="_Toc22934"/>
      <w:bookmarkStart w:id="78" w:name="_Toc20613"/>
      <w:bookmarkStart w:id="79" w:name="_Toc24622"/>
      <w:r>
        <w:rPr>
          <w:rFonts w:hint="eastAsia" w:ascii="黑体" w:hAnsi="黑体" w:eastAsia="黑体" w:cs="黑体"/>
          <w:color w:val="auto"/>
          <w:sz w:val="32"/>
          <w:szCs w:val="32"/>
        </w:rPr>
        <w:t>八、重大分歧意见的处理经过和依据</w:t>
      </w:r>
      <w:bookmarkEnd w:id="77"/>
      <w:bookmarkEnd w:id="78"/>
      <w:bookmarkEnd w:id="79"/>
    </w:p>
    <w:p w14:paraId="45543D9A">
      <w:pPr>
        <w:pStyle w:val="45"/>
        <w:spacing w:line="360" w:lineRule="auto"/>
        <w:ind w:firstLine="480"/>
        <w:rPr>
          <w:rFonts w:hint="eastAsia" w:ascii="仿宋" w:hAnsi="仿宋" w:eastAsia="仿宋" w:cs="仿宋"/>
          <w:color w:val="auto"/>
          <w:sz w:val="30"/>
          <w:szCs w:val="30"/>
          <w:highlight w:val="none"/>
          <w:lang w:bidi="ar"/>
        </w:rPr>
      </w:pPr>
      <w:r>
        <w:rPr>
          <w:rFonts w:hint="default" w:ascii="Times New Roman" w:hAnsi="Times New Roman" w:eastAsia="仿宋" w:cs="Times New Roman"/>
          <w:color w:val="auto"/>
          <w:sz w:val="30"/>
          <w:szCs w:val="30"/>
          <w:highlight w:val="none"/>
          <w:lang w:bidi="ar"/>
        </w:rPr>
        <w:t>标准编制过程中，编</w:t>
      </w:r>
      <w:r>
        <w:rPr>
          <w:rFonts w:hint="eastAsia" w:ascii="仿宋" w:hAnsi="仿宋" w:eastAsia="仿宋" w:cs="仿宋"/>
          <w:color w:val="auto"/>
          <w:sz w:val="30"/>
          <w:szCs w:val="30"/>
          <w:highlight w:val="none"/>
          <w:lang w:bidi="ar"/>
        </w:rPr>
        <w:t>制组围绕“无异味园区”的内涵边界、园区与企业责任分工、建设指标属性、是否设置等级评价、P-OMP内容深度以及与《无异味工厂创建技术指南》的衔接关系等问题进行了充分讨论。</w:t>
      </w:r>
    </w:p>
    <w:p w14:paraId="0183C297">
      <w:pPr>
        <w:pStyle w:val="45"/>
        <w:spacing w:line="360" w:lineRule="auto"/>
        <w:ind w:firstLine="480"/>
        <w:rPr>
          <w:rFonts w:hint="eastAsia" w:ascii="仿宋" w:hAnsi="仿宋" w:eastAsia="仿宋" w:cs="仿宋"/>
          <w:color w:val="auto"/>
          <w:sz w:val="30"/>
          <w:szCs w:val="30"/>
          <w:highlight w:val="none"/>
          <w:lang w:bidi="ar"/>
        </w:rPr>
      </w:pPr>
      <w:r>
        <w:rPr>
          <w:rFonts w:hint="eastAsia" w:ascii="仿宋" w:hAnsi="仿宋" w:eastAsia="仿宋" w:cs="仿宋"/>
          <w:color w:val="auto"/>
          <w:sz w:val="30"/>
          <w:szCs w:val="30"/>
          <w:highlight w:val="none"/>
          <w:lang w:bidi="ar"/>
        </w:rPr>
        <w:t>关于“无异味园区”的内涵，编制组认为，“无异味”不应理解为园区在任何区域、任何时间、任何气象条件下均无气味感知，而应理解为园区通过系统治理和长效管理，使园区异味污染风险得到有效识别、控制、监测、评估、溯源和持续改进。该理解已在标准前言和术语定义中予以体现。</w:t>
      </w:r>
    </w:p>
    <w:p w14:paraId="2B668D3C">
      <w:pPr>
        <w:pStyle w:val="45"/>
        <w:spacing w:line="360" w:lineRule="auto"/>
        <w:ind w:firstLine="480"/>
        <w:rPr>
          <w:rFonts w:hint="eastAsia" w:ascii="仿宋" w:hAnsi="仿宋" w:eastAsia="仿宋" w:cs="仿宋"/>
          <w:color w:val="auto"/>
          <w:sz w:val="30"/>
          <w:szCs w:val="30"/>
          <w:highlight w:val="none"/>
          <w:lang w:bidi="ar"/>
        </w:rPr>
      </w:pPr>
      <w:r>
        <w:rPr>
          <w:rFonts w:hint="eastAsia" w:ascii="仿宋" w:hAnsi="仿宋" w:eastAsia="仿宋" w:cs="仿宋"/>
          <w:color w:val="auto"/>
          <w:sz w:val="30"/>
          <w:szCs w:val="30"/>
          <w:highlight w:val="none"/>
          <w:lang w:bidi="ar"/>
        </w:rPr>
        <w:t>关于园区与企业责任分工，编制组认为，园区创建不能替代企业依法履行异味污染防治主体责任。园区标准的重点是统筹协调、公共异味源管理、边界监测、投诉溯源和联防联控；企业内部异味源治理、过程控制、末端治理和企业OMP建设，可参照《无异味工厂创建技术指南》开展。</w:t>
      </w:r>
    </w:p>
    <w:p w14:paraId="3530D4DF">
      <w:pPr>
        <w:pStyle w:val="45"/>
        <w:spacing w:line="360" w:lineRule="auto"/>
        <w:ind w:firstLine="480"/>
        <w:rPr>
          <w:rFonts w:hint="eastAsia" w:ascii="仿宋" w:hAnsi="仿宋" w:eastAsia="仿宋" w:cs="仿宋"/>
          <w:color w:val="auto"/>
          <w:sz w:val="30"/>
          <w:szCs w:val="30"/>
          <w:highlight w:val="none"/>
          <w:lang w:bidi="ar"/>
        </w:rPr>
      </w:pPr>
      <w:r>
        <w:rPr>
          <w:rFonts w:hint="eastAsia" w:ascii="仿宋" w:hAnsi="仿宋" w:eastAsia="仿宋" w:cs="仿宋"/>
          <w:color w:val="auto"/>
          <w:sz w:val="30"/>
          <w:szCs w:val="30"/>
          <w:highlight w:val="none"/>
          <w:lang w:bidi="ar"/>
        </w:rPr>
        <w:t>关于建设指标属性，编制组经研究认为，本标准定位为创建技术指南，不宜设置无异味园区等级评价、认证认定或命名规则。因此，标准保留一类、二类、三类指标用于体现指标重要程度和创建优先级，但明确建设指标和自评表不作为等级评价</w:t>
      </w:r>
      <w:r>
        <w:rPr>
          <w:rFonts w:hint="eastAsia" w:ascii="仿宋" w:hAnsi="仿宋" w:eastAsia="仿宋" w:cs="仿宋"/>
          <w:color w:val="auto"/>
          <w:sz w:val="30"/>
          <w:szCs w:val="30"/>
          <w:highlight w:val="none"/>
          <w:lang w:val="en-US" w:eastAsia="zh-CN" w:bidi="ar"/>
        </w:rPr>
        <w:t>或</w:t>
      </w:r>
      <w:r>
        <w:rPr>
          <w:rFonts w:hint="eastAsia" w:ascii="仿宋" w:hAnsi="仿宋" w:eastAsia="仿宋" w:cs="仿宋"/>
          <w:color w:val="auto"/>
          <w:sz w:val="30"/>
          <w:szCs w:val="30"/>
          <w:highlight w:val="none"/>
          <w:lang w:bidi="ar"/>
        </w:rPr>
        <w:t>认证认定的直接依据。</w:t>
      </w:r>
    </w:p>
    <w:p w14:paraId="3CDC64DE">
      <w:pPr>
        <w:pStyle w:val="45"/>
        <w:spacing w:line="360" w:lineRule="auto"/>
        <w:ind w:firstLine="480"/>
        <w:rPr>
          <w:rFonts w:hint="default" w:ascii="Times New Roman" w:hAnsi="Times New Roman" w:eastAsia="仿宋" w:cs="Times New Roman"/>
          <w:color w:val="auto"/>
          <w:sz w:val="30"/>
          <w:szCs w:val="30"/>
          <w:highlight w:val="none"/>
          <w:lang w:bidi="ar"/>
        </w:rPr>
      </w:pPr>
      <w:r>
        <w:rPr>
          <w:rFonts w:hint="eastAsia" w:ascii="仿宋" w:hAnsi="仿宋" w:eastAsia="仿宋" w:cs="仿宋"/>
          <w:color w:val="auto"/>
          <w:sz w:val="30"/>
          <w:szCs w:val="30"/>
          <w:highlight w:val="none"/>
          <w:lang w:bidi="ar"/>
        </w:rPr>
        <w:t>截至征求意见稿形成阶段，尚无重大分歧意见。后续对征求意见过程中提出的意见，编制组将逐条研究、分类处理，并在送审材料中说明采纳情况和处</w:t>
      </w:r>
      <w:r>
        <w:rPr>
          <w:rFonts w:hint="default" w:ascii="Times New Roman" w:hAnsi="Times New Roman" w:eastAsia="仿宋" w:cs="Times New Roman"/>
          <w:color w:val="auto"/>
          <w:sz w:val="30"/>
          <w:szCs w:val="30"/>
          <w:highlight w:val="none"/>
          <w:lang w:bidi="ar"/>
        </w:rPr>
        <w:t>理依据。</w:t>
      </w:r>
    </w:p>
    <w:p w14:paraId="6D3E339A">
      <w:pPr>
        <w:spacing w:line="360" w:lineRule="auto"/>
        <w:ind w:firstLine="640" w:firstLineChars="200"/>
        <w:jc w:val="left"/>
        <w:outlineLvl w:val="0"/>
        <w:rPr>
          <w:rFonts w:hint="eastAsia" w:ascii="黑体" w:hAnsi="黑体" w:eastAsia="黑体" w:cs="黑体"/>
          <w:color w:val="auto"/>
          <w:sz w:val="32"/>
          <w:szCs w:val="32"/>
        </w:rPr>
      </w:pPr>
      <w:bookmarkStart w:id="80" w:name="_Toc16765"/>
      <w:bookmarkStart w:id="81" w:name="_Toc23096"/>
      <w:bookmarkStart w:id="82" w:name="_Toc7713"/>
      <w:r>
        <w:rPr>
          <w:rFonts w:hint="eastAsia" w:ascii="黑体" w:hAnsi="黑体" w:eastAsia="黑体" w:cs="黑体"/>
          <w:color w:val="auto"/>
          <w:sz w:val="32"/>
          <w:szCs w:val="32"/>
        </w:rPr>
        <w:t>九、实施标准的措施建议</w:t>
      </w:r>
      <w:bookmarkEnd w:id="80"/>
      <w:bookmarkEnd w:id="81"/>
      <w:bookmarkEnd w:id="82"/>
    </w:p>
    <w:p w14:paraId="29F53D5A">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为推动本标准有效实施，提出以下建议。</w:t>
      </w:r>
    </w:p>
    <w:p w14:paraId="135F1A0E">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（一）加强标准宣贯培训</w:t>
      </w:r>
    </w:p>
    <w:p w14:paraId="1BB3BE27">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建议中华环保联合会会同相关行业协会、科研院所和技术机构，面向园区管理机构、运营管理单位、园区内重点涉异味企业、公共设施运营单位、第三方技术服务机构和地方相关管理人员开展宣贯培训，帮助相关主体准确理解无异味园区创建的技术路径、指标体系和P-OMP编制要求。</w:t>
      </w:r>
    </w:p>
    <w:p w14:paraId="2F60F27B">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（二）开展典型园区试点应用</w:t>
      </w:r>
    </w:p>
    <w:p w14:paraId="1DB8E059">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建议选择不同产业类型、不同管理模式和不同异味风险特征的工业园区或产业集聚区开展试点应用，验证标准的适用性和可操作性，总结园区异味源清单建立、公共异味源管控、边界监测、投诉溯源、异常工况联防联控和P-OMP持续改进等方面的经验做法。</w:t>
      </w:r>
    </w:p>
    <w:p w14:paraId="3828BD72">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（三）加强技术服务和能力建设</w:t>
      </w:r>
    </w:p>
    <w:p w14:paraId="47BC18A1">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建议培育具备园区异味源识别、特征污染物分析、边界监测、电子鼻或VOCs微站运维、投诉溯源、公共异味源治理诊断和P-OMP编制能力的技术服务队伍，为园区开展无异味园区创建提供专业支撑。</w:t>
      </w:r>
    </w:p>
    <w:p w14:paraId="17A8717F">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（四）推动企业治理与园区统筹衔接</w:t>
      </w:r>
    </w:p>
    <w:p w14:paraId="6C209844">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建议园区将无异味园区创建与重点涉异味企业无异味工厂创建或等效异味管控工作相衔接，推动企业落实主体责任，同时强化园区层面的公共异味源管控、边界监测预警、投诉溯源和异常工况联防联控，形成企业治理与园区统筹相结合的工作格局。</w:t>
      </w:r>
    </w:p>
    <w:p w14:paraId="204E1BC6">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（五）建立持续改进机制</w:t>
      </w:r>
    </w:p>
    <w:p w14:paraId="7E7AEE83">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建议园区将标准实施情况纳入日常环境管理体系，定期开展自评、内部审核和问题整改，并根据园区产业结构、异味源变化、投诉情况、监测结果、公共设施运行情况和重点企业治理提升情况动态更新P-OMP，持续提升园区异味污染协同治理水平。</w:t>
      </w:r>
    </w:p>
    <w:p w14:paraId="57A8D35A">
      <w:pPr>
        <w:spacing w:before="0" w:beforeLines="0" w:line="360" w:lineRule="auto"/>
        <w:ind w:firstLine="600" w:firstLineChars="200"/>
        <w:jc w:val="left"/>
        <w:rPr>
          <w:rFonts w:hint="default" w:eastAsia="仿宋"/>
          <w:color w:val="auto"/>
          <w:sz w:val="30"/>
          <w:szCs w:val="30"/>
          <w:highlight w:val="none"/>
          <w:lang w:eastAsia="zh-CN" w:bidi="ar"/>
        </w:rPr>
      </w:pPr>
      <w:r>
        <w:rPr>
          <w:rFonts w:hint="default" w:eastAsia="仿宋"/>
          <w:color w:val="auto"/>
          <w:sz w:val="30"/>
          <w:szCs w:val="30"/>
          <w:highlight w:val="none"/>
          <w:lang w:eastAsia="zh-CN" w:bidi="ar"/>
        </w:rPr>
        <w:t>（六）强化公众沟通和信息反馈</w:t>
      </w:r>
    </w:p>
    <w:p w14:paraId="05FE5E86">
      <w:pPr>
        <w:spacing w:before="0" w:beforeLines="0" w:line="360" w:lineRule="auto"/>
        <w:ind w:firstLine="600" w:firstLineChars="200"/>
        <w:jc w:val="left"/>
        <w:rPr>
          <w:rFonts w:hint="default" w:eastAsia="仿宋"/>
          <w:color w:val="auto"/>
          <w:sz w:val="30"/>
          <w:szCs w:val="30"/>
          <w:highlight w:val="none"/>
          <w:lang w:val="en-US" w:eastAsia="zh-CN" w:bidi="ar"/>
        </w:rPr>
      </w:pPr>
      <w:r>
        <w:rPr>
          <w:rFonts w:hint="default" w:eastAsia="仿宋"/>
          <w:color w:val="auto"/>
          <w:sz w:val="30"/>
          <w:szCs w:val="30"/>
          <w:highlight w:val="none"/>
          <w:lang w:eastAsia="zh-CN" w:bidi="ar"/>
        </w:rPr>
        <w:t>建议园区结合实际建立公众沟通机制，通过投诉渠道告知、治理措施说明、整改进展反馈、公众座谈或社区沟通等方式，回应公众关切，提升周边公众对园区异味治理工作的理解度和参与度。</w:t>
      </w:r>
    </w:p>
    <w:p w14:paraId="7B2321D2">
      <w:pPr>
        <w:spacing w:line="360" w:lineRule="auto"/>
        <w:ind w:firstLine="640" w:firstLineChars="200"/>
        <w:jc w:val="left"/>
        <w:outlineLvl w:val="0"/>
        <w:rPr>
          <w:rFonts w:ascii="黑体" w:hAnsi="黑体" w:eastAsia="黑体" w:cs="黑体"/>
          <w:color w:val="auto"/>
          <w:sz w:val="32"/>
          <w:szCs w:val="32"/>
        </w:rPr>
      </w:pPr>
      <w:bookmarkStart w:id="83" w:name="_Toc18845"/>
      <w:bookmarkStart w:id="84" w:name="_Toc22496"/>
      <w:bookmarkStart w:id="85" w:name="_Toc5751"/>
      <w:r>
        <w:rPr>
          <w:rFonts w:hint="eastAsia" w:ascii="黑体" w:hAnsi="黑体" w:eastAsia="黑体" w:cs="黑体"/>
          <w:color w:val="auto"/>
          <w:sz w:val="32"/>
          <w:szCs w:val="32"/>
        </w:rPr>
        <w:t>十、其他应当说明的事项</w:t>
      </w:r>
      <w:bookmarkEnd w:id="83"/>
      <w:bookmarkEnd w:id="84"/>
      <w:bookmarkEnd w:id="85"/>
    </w:p>
    <w:bookmarkEnd w:id="72"/>
    <w:bookmarkEnd w:id="73"/>
    <w:bookmarkEnd w:id="74"/>
    <w:bookmarkEnd w:id="75"/>
    <w:bookmarkEnd w:id="76"/>
    <w:p w14:paraId="1A86B0F5">
      <w:pPr>
        <w:spacing w:before="0" w:beforeLines="0" w:line="360" w:lineRule="auto"/>
        <w:ind w:firstLine="600" w:firstLineChars="200"/>
        <w:jc w:val="left"/>
        <w:rPr>
          <w:rFonts w:hint="eastAsia" w:eastAsia="仿宋"/>
          <w:b w:val="0"/>
          <w:color w:val="auto"/>
          <w:kern w:val="2"/>
          <w:sz w:val="30"/>
          <w:szCs w:val="30"/>
          <w:highlight w:val="none"/>
          <w:lang w:val="en-US" w:eastAsia="zh-CN" w:bidi="ar"/>
        </w:rPr>
      </w:pPr>
      <w:r>
        <w:rPr>
          <w:rFonts w:hint="eastAsia" w:eastAsia="仿宋"/>
          <w:b w:val="0"/>
          <w:color w:val="auto"/>
          <w:kern w:val="2"/>
          <w:sz w:val="30"/>
          <w:szCs w:val="30"/>
          <w:highlight w:val="none"/>
          <w:lang w:val="en-US" w:eastAsia="zh-CN" w:bidi="ar"/>
        </w:rPr>
        <w:t>本标准为指导性团体标准，相关建设指标、附录B指标解释和附录C自评表用于指导创建主体开展无异味园区创建、自评和持续改进，不作为无异味园区等级评价或认证认定的直接依据。</w:t>
      </w:r>
    </w:p>
    <w:p w14:paraId="50100540">
      <w:pPr>
        <w:spacing w:before="0" w:beforeLines="0" w:line="360" w:lineRule="auto"/>
        <w:ind w:firstLine="600" w:firstLineChars="200"/>
        <w:jc w:val="left"/>
        <w:rPr>
          <w:rFonts w:hint="eastAsia" w:eastAsia="仿宋"/>
          <w:b w:val="0"/>
          <w:color w:val="auto"/>
          <w:kern w:val="2"/>
          <w:sz w:val="30"/>
          <w:szCs w:val="30"/>
          <w:highlight w:val="none"/>
          <w:lang w:val="en-US" w:eastAsia="zh-CN" w:bidi="ar"/>
        </w:rPr>
      </w:pPr>
      <w:r>
        <w:rPr>
          <w:rFonts w:hint="eastAsia" w:eastAsia="仿宋"/>
          <w:b w:val="0"/>
          <w:color w:val="auto"/>
          <w:kern w:val="2"/>
          <w:sz w:val="30"/>
          <w:szCs w:val="30"/>
          <w:highlight w:val="none"/>
          <w:lang w:val="en-US" w:eastAsia="zh-CN" w:bidi="ar"/>
        </w:rPr>
        <w:t>本标准不涉及强制性产品认证、行政许可事项或新增行政审批要求。</w:t>
      </w:r>
    </w:p>
    <w:p w14:paraId="5C53934A">
      <w:pPr>
        <w:spacing w:before="0" w:beforeLines="0" w:line="360" w:lineRule="auto"/>
        <w:ind w:firstLine="600" w:firstLineChars="200"/>
        <w:jc w:val="left"/>
        <w:rPr>
          <w:rFonts w:hint="eastAsia" w:ascii="Times New Roman" w:hAnsi="Times New Roman" w:eastAsia="仿宋"/>
          <w:b w:val="0"/>
          <w:color w:val="auto"/>
          <w:kern w:val="2"/>
          <w:sz w:val="30"/>
          <w:szCs w:val="30"/>
          <w:highlight w:val="none"/>
          <w:lang w:val="en-US" w:eastAsia="zh-CN" w:bidi="ar"/>
        </w:rPr>
      </w:pPr>
      <w:r>
        <w:rPr>
          <w:rFonts w:hint="eastAsia" w:eastAsia="仿宋"/>
          <w:b w:val="0"/>
          <w:color w:val="auto"/>
          <w:kern w:val="2"/>
          <w:sz w:val="30"/>
          <w:szCs w:val="30"/>
          <w:highlight w:val="none"/>
          <w:lang w:val="en-US" w:eastAsia="zh-CN" w:bidi="ar"/>
        </w:rPr>
        <w:t>本标准某些内容可能涉及专利，发布机构不承担识别相关专利的责任</w:t>
      </w:r>
    </w:p>
    <w:sectPr>
      <w:footerReference r:id="rId6" w:type="default"/>
      <w:pgSz w:w="11906" w:h="16838"/>
      <w:pgMar w:top="1440" w:right="1797" w:bottom="1440" w:left="1797" w:header="851" w:footer="992" w:gutter="0"/>
      <w:pgNumType w:fmt="decimal"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H Yb 1gj">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73678">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14:paraId="2206118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348C">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5DB37">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DD3BD">
                          <w:pPr>
                            <w:pStyle w:val="12"/>
                            <w:rPr>
                              <w:rStyle w:val="22"/>
                            </w:rPr>
                          </w:pPr>
                          <w:r>
                            <w:rPr>
                              <w:rStyle w:val="22"/>
                            </w:rPr>
                            <w:fldChar w:fldCharType="begin"/>
                          </w:r>
                          <w:r>
                            <w:rPr>
                              <w:rStyle w:val="22"/>
                            </w:rPr>
                            <w:instrText xml:space="preserve">PAGE  </w:instrText>
                          </w:r>
                          <w:r>
                            <w:rPr>
                              <w:rStyle w:val="22"/>
                            </w:rPr>
                            <w:fldChar w:fldCharType="separate"/>
                          </w:r>
                          <w:r>
                            <w:rPr>
                              <w:rStyle w:val="22"/>
                            </w:rPr>
                            <w:t>17</w:t>
                          </w:r>
                          <w:r>
                            <w:rPr>
                              <w:rStyle w:val="2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64DD3BD">
                    <w:pPr>
                      <w:pStyle w:val="12"/>
                      <w:rPr>
                        <w:rStyle w:val="22"/>
                      </w:rPr>
                    </w:pPr>
                    <w:r>
                      <w:rPr>
                        <w:rStyle w:val="22"/>
                      </w:rPr>
                      <w:fldChar w:fldCharType="begin"/>
                    </w:r>
                    <w:r>
                      <w:rPr>
                        <w:rStyle w:val="22"/>
                      </w:rPr>
                      <w:instrText xml:space="preserve">PAGE  </w:instrText>
                    </w:r>
                    <w:r>
                      <w:rPr>
                        <w:rStyle w:val="22"/>
                      </w:rPr>
                      <w:fldChar w:fldCharType="separate"/>
                    </w:r>
                    <w:r>
                      <w:rPr>
                        <w:rStyle w:val="22"/>
                      </w:rPr>
                      <w:t>17</w:t>
                    </w:r>
                    <w:r>
                      <w:rPr>
                        <w:rStyle w:val="2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97CB8">
    <w:pPr>
      <w:pStyle w:val="13"/>
      <w:pBdr>
        <w:bottom w:val="none" w:color="auto" w:sz="0" w:space="1"/>
      </w:pBdr>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520055" cy="5587365"/>
          <wp:effectExtent l="0" t="0" r="0" b="0"/>
          <wp:wrapNone/>
          <wp:docPr id="1" name="WordPictureWatermark83076" descr="未命名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83076" descr="未命名 (4)"/>
                  <pic:cNvPicPr>
                    <a:picLocks noChangeAspect="1"/>
                  </pic:cNvPicPr>
                </pic:nvPicPr>
                <pic:blipFill>
                  <a:blip r:embed="rId1"/>
                  <a:stretch>
                    <a:fillRect/>
                  </a:stretch>
                </pic:blipFill>
                <pic:spPr>
                  <a:xfrm>
                    <a:off x="0" y="0"/>
                    <a:ext cx="5520055" cy="558736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57"/>
      <w:suff w:val="nothing"/>
      <w:lvlText w:val="注%1："/>
      <w:lvlJc w:val="left"/>
      <w:pPr>
        <w:ind w:left="868" w:hanging="448"/>
      </w:pPr>
      <w:rPr>
        <w:rFonts w:hint="default" w:ascii="黑体" w:eastAsia="黑体"/>
        <w:b w:val="0"/>
        <w:i w:val="0"/>
        <w:sz w:val="22"/>
        <w:szCs w:val="22"/>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D896A84"/>
    <w:multiLevelType w:val="multilevel"/>
    <w:tmpl w:val="0D896A84"/>
    <w:lvl w:ilvl="0" w:tentative="0">
      <w:start w:val="1"/>
      <w:numFmt w:val="decimal"/>
      <w:pStyle w:val="2"/>
      <w:lvlText w:val="%1"/>
      <w:lvlJc w:val="left"/>
      <w:pPr>
        <w:tabs>
          <w:tab w:val="left" w:pos="605"/>
        </w:tabs>
        <w:ind w:left="605" w:hanging="425"/>
      </w:pPr>
      <w:rPr>
        <w:rFonts w:hint="eastAsia"/>
      </w:rPr>
    </w:lvl>
    <w:lvl w:ilvl="1" w:tentative="0">
      <w:start w:val="1"/>
      <w:numFmt w:val="decimal"/>
      <w:pStyle w:val="4"/>
      <w:lvlText w:val="%1.%2"/>
      <w:lvlJc w:val="left"/>
      <w:pPr>
        <w:tabs>
          <w:tab w:val="left" w:pos="567"/>
        </w:tabs>
        <w:ind w:left="567" w:hanging="567"/>
      </w:pPr>
      <w:rPr>
        <w:rFonts w:hint="eastAsia"/>
        <w:b w:val="0"/>
      </w:rPr>
    </w:lvl>
    <w:lvl w:ilvl="2" w:tentative="0">
      <w:start w:val="1"/>
      <w:numFmt w:val="decimal"/>
      <w:lvlText w:val="%1.%2.%3"/>
      <w:lvlJc w:val="left"/>
      <w:pPr>
        <w:tabs>
          <w:tab w:val="left" w:pos="709"/>
        </w:tabs>
        <w:ind w:left="709" w:hanging="709"/>
      </w:pPr>
      <w:rPr>
        <w:rFonts w:hint="default" w:ascii="Times New Roman" w:hAnsi="Times New Roman" w:cs="Times New Roman"/>
        <w:b w:val="0"/>
      </w:rPr>
    </w:lvl>
    <w:lvl w:ilvl="3" w:tentative="0">
      <w:start w:val="1"/>
      <w:numFmt w:val="decimal"/>
      <w:suff w:val="nothing"/>
      <w:lvlText w:val="（%4）"/>
      <w:lvlJc w:val="left"/>
      <w:pPr>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E4FF8EF"/>
    <w:multiLevelType w:val="singleLevel"/>
    <w:tmpl w:val="0E4FF8EF"/>
    <w:lvl w:ilvl="0" w:tentative="0">
      <w:start w:val="5"/>
      <w:numFmt w:val="chineseCounting"/>
      <w:suff w:val="nothing"/>
      <w:lvlText w:val="%1、"/>
      <w:lvlJc w:val="left"/>
      <w:rPr>
        <w:rFonts w:hint="eastAsia"/>
      </w:rPr>
    </w:lvl>
  </w:abstractNum>
  <w:abstractNum w:abstractNumId="3">
    <w:nsid w:val="44C50F90"/>
    <w:multiLevelType w:val="multilevel"/>
    <w:tmpl w:val="44C50F90"/>
    <w:lvl w:ilvl="0" w:tentative="0">
      <w:start w:val="1"/>
      <w:numFmt w:val="lowerLetter"/>
      <w:pStyle w:val="55"/>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646260FA"/>
    <w:multiLevelType w:val="multilevel"/>
    <w:tmpl w:val="646260FA"/>
    <w:lvl w:ilvl="0" w:tentative="0">
      <w:start w:val="1"/>
      <w:numFmt w:val="decimal"/>
      <w:pStyle w:val="5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657D3FBC"/>
    <w:multiLevelType w:val="multilevel"/>
    <w:tmpl w:val="657D3FBC"/>
    <w:lvl w:ilvl="0" w:tentative="0">
      <w:start w:val="1"/>
      <w:numFmt w:val="upperLetter"/>
      <w:pStyle w:val="29"/>
      <w:suff w:val="nothing"/>
      <w:lvlText w:val="附　录　%1"/>
      <w:lvlJc w:val="left"/>
      <w:rPr>
        <w:rFonts w:hint="eastAsia" w:ascii="黑体" w:hAnsi="Times New Roman" w:eastAsia="黑体"/>
        <w:b w:val="0"/>
        <w:bCs w:val="0"/>
        <w:i w:val="0"/>
        <w:iCs w:val="0"/>
        <w:sz w:val="21"/>
        <w:szCs w:val="21"/>
      </w:rPr>
    </w:lvl>
    <w:lvl w:ilvl="1" w:tentative="0">
      <w:start w:val="1"/>
      <w:numFmt w:val="decimal"/>
      <w:pStyle w:val="30"/>
      <w:suff w:val="nothing"/>
      <w:lvlText w:val="%1.%2　"/>
      <w:lvlJc w:val="left"/>
      <w:rPr>
        <w:rFonts w:hint="eastAsia" w:ascii="黑体" w:hAnsi="Times New Roman" w:eastAsia="黑体"/>
        <w:b w:val="0"/>
        <w:bCs w:val="0"/>
        <w:i w:val="0"/>
        <w:iCs w:val="0"/>
        <w:spacing w:val="0"/>
        <w:w w:val="100"/>
        <w:kern w:val="21"/>
        <w:sz w:val="21"/>
        <w:szCs w:val="21"/>
      </w:rPr>
    </w:lvl>
    <w:lvl w:ilvl="2" w:tentative="0">
      <w:start w:val="1"/>
      <w:numFmt w:val="decimal"/>
      <w:suff w:val="nothing"/>
      <w:lvlText w:val="%1.%2.%3　"/>
      <w:lvlJc w:val="left"/>
      <w:rPr>
        <w:rFonts w:hint="eastAsia" w:ascii="黑体" w:hAnsi="Times New Roman" w:eastAsia="黑体"/>
        <w:b w:val="0"/>
        <w:bCs w:val="0"/>
        <w:i w:val="0"/>
        <w:iCs w:val="0"/>
        <w:sz w:val="21"/>
        <w:szCs w:val="21"/>
      </w:rPr>
    </w:lvl>
    <w:lvl w:ilvl="3" w:tentative="0">
      <w:start w:val="1"/>
      <w:numFmt w:val="decimal"/>
      <w:suff w:val="nothing"/>
      <w:lvlText w:val="%1.%2.%3.%4　"/>
      <w:lvlJc w:val="left"/>
      <w:rPr>
        <w:rFonts w:hint="eastAsia" w:ascii="黑体" w:hAnsi="Times New Roman" w:eastAsia="黑体"/>
        <w:b w:val="0"/>
        <w:bCs w:val="0"/>
        <w:i w:val="0"/>
        <w:iCs w:val="0"/>
        <w:sz w:val="21"/>
        <w:szCs w:val="21"/>
      </w:rPr>
    </w:lvl>
    <w:lvl w:ilvl="4" w:tentative="0">
      <w:start w:val="1"/>
      <w:numFmt w:val="decimal"/>
      <w:suff w:val="nothing"/>
      <w:lvlText w:val="%1.%2.%3.%4.%5　"/>
      <w:lvlJc w:val="left"/>
      <w:rPr>
        <w:rFonts w:hint="eastAsia" w:ascii="黑体" w:hAnsi="Times New Roman" w:eastAsia="黑体"/>
        <w:b w:val="0"/>
        <w:bCs w:val="0"/>
        <w:i w:val="0"/>
        <w:iCs w:val="0"/>
        <w:sz w:val="21"/>
        <w:szCs w:val="21"/>
      </w:rPr>
    </w:lvl>
    <w:lvl w:ilvl="5" w:tentative="0">
      <w:start w:val="1"/>
      <w:numFmt w:val="decimal"/>
      <w:suff w:val="nothing"/>
      <w:lvlText w:val="%1.%2.%3.%4.%5.%6　"/>
      <w:lvlJc w:val="left"/>
      <w:rPr>
        <w:rFonts w:hint="eastAsia" w:ascii="黑体" w:hAnsi="Times New Roman" w:eastAsia="黑体"/>
        <w:b w:val="0"/>
        <w:bCs w:val="0"/>
        <w:i w:val="0"/>
        <w:iCs w:val="0"/>
        <w:sz w:val="21"/>
        <w:szCs w:val="21"/>
      </w:rPr>
    </w:lvl>
    <w:lvl w:ilvl="6" w:tentative="0">
      <w:start w:val="1"/>
      <w:numFmt w:val="decimal"/>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CEA2025"/>
    <w:multiLevelType w:val="multilevel"/>
    <w:tmpl w:val="6CEA2025"/>
    <w:lvl w:ilvl="0" w:tentative="0">
      <w:start w:val="1"/>
      <w:numFmt w:val="none"/>
      <w:pStyle w:val="36"/>
      <w:suff w:val="nothing"/>
      <w:lvlText w:val="%1"/>
      <w:lvlJc w:val="left"/>
      <w:rPr>
        <w:rFonts w:hint="default" w:ascii="Times New Roman" w:hAnsi="Times New Roman" w:cs="Times New Roman"/>
        <w:b/>
        <w:bCs/>
        <w:i w:val="0"/>
        <w:iCs w:val="0"/>
        <w:sz w:val="21"/>
        <w:szCs w:val="21"/>
      </w:rPr>
    </w:lvl>
    <w:lvl w:ilvl="1" w:tentative="0">
      <w:start w:val="1"/>
      <w:numFmt w:val="decimal"/>
      <w:pStyle w:val="64"/>
      <w:suff w:val="nothing"/>
      <w:lvlText w:val="%1%2　"/>
      <w:lvlJc w:val="left"/>
      <w:rPr>
        <w:rFonts w:hint="eastAsia" w:ascii="黑体" w:hAnsi="Times New Roman" w:eastAsia="黑体"/>
        <w:b w:val="0"/>
        <w:bCs w:val="0"/>
        <w:i w:val="0"/>
        <w:iCs w:val="0"/>
        <w:sz w:val="21"/>
        <w:szCs w:val="21"/>
      </w:rPr>
    </w:lvl>
    <w:lvl w:ilvl="2" w:tentative="0">
      <w:start w:val="1"/>
      <w:numFmt w:val="decimal"/>
      <w:pStyle w:val="63"/>
      <w:suff w:val="nothing"/>
      <w:lvlText w:val="%1%2.%3　"/>
      <w:lvlJc w:val="left"/>
      <w:rPr>
        <w:rFonts w:hint="eastAsia" w:ascii="黑体" w:hAnsi="Times New Roman" w:eastAsia="黑体"/>
        <w:b w:val="0"/>
        <w:bCs w:val="0"/>
        <w:i w:val="0"/>
        <w:iCs w:val="0"/>
        <w:sz w:val="21"/>
        <w:szCs w:val="21"/>
      </w:rPr>
    </w:lvl>
    <w:lvl w:ilvl="3" w:tentative="0">
      <w:start w:val="1"/>
      <w:numFmt w:val="decimal"/>
      <w:pStyle w:val="53"/>
      <w:suff w:val="nothing"/>
      <w:lvlText w:val="%1%2.%3.%4　"/>
      <w:lvlJc w:val="left"/>
      <w:rPr>
        <w:rFonts w:hint="eastAsia" w:ascii="黑体" w:hAnsi="Times New Roman" w:eastAsia="黑体"/>
        <w:b w:val="0"/>
        <w:bCs w:val="0"/>
        <w:i w:val="0"/>
        <w:iCs w:val="0"/>
        <w:sz w:val="21"/>
        <w:szCs w:val="21"/>
      </w:rPr>
    </w:lvl>
    <w:lvl w:ilvl="4" w:tentative="0">
      <w:start w:val="1"/>
      <w:numFmt w:val="decimal"/>
      <w:suff w:val="nothing"/>
      <w:lvlText w:val="%1%2.%3.%4.%5　"/>
      <w:lvlJc w:val="left"/>
      <w:rPr>
        <w:rFonts w:hint="eastAsia" w:ascii="黑体" w:hAnsi="Times New Roman" w:eastAsia="黑体"/>
        <w:b w:val="0"/>
        <w:bCs w:val="0"/>
        <w:i w:val="0"/>
        <w:iCs w:val="0"/>
        <w:sz w:val="21"/>
        <w:szCs w:val="21"/>
      </w:rPr>
    </w:lvl>
    <w:lvl w:ilvl="5" w:tentative="0">
      <w:start w:val="1"/>
      <w:numFmt w:val="decimal"/>
      <w:pStyle w:val="60"/>
      <w:suff w:val="nothing"/>
      <w:lvlText w:val="%1%2.%3.%4.%5.%6　"/>
      <w:lvlJc w:val="left"/>
      <w:rPr>
        <w:rFonts w:hint="eastAsia" w:ascii="黑体" w:hAnsi="Times New Roman" w:eastAsia="黑体"/>
        <w:b w:val="0"/>
        <w:bCs w:val="0"/>
        <w:i w:val="0"/>
        <w:iCs w:val="0"/>
        <w:sz w:val="21"/>
        <w:szCs w:val="21"/>
      </w:rPr>
    </w:lvl>
    <w:lvl w:ilvl="6" w:tentative="0">
      <w:start w:val="1"/>
      <w:numFmt w:val="decimal"/>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5"/>
  </w:num>
  <w:num w:numId="3">
    <w:abstractNumId w:val="6"/>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5ZjBjZjRiNGRlOTgzMjg3NDFhM2RmNjVhODM1ODYifQ=="/>
  </w:docVars>
  <w:rsids>
    <w:rsidRoot w:val="009B0A2A"/>
    <w:rsid w:val="0000091D"/>
    <w:rsid w:val="00005402"/>
    <w:rsid w:val="00013F7E"/>
    <w:rsid w:val="00065438"/>
    <w:rsid w:val="00066EBC"/>
    <w:rsid w:val="00076791"/>
    <w:rsid w:val="000C0ED6"/>
    <w:rsid w:val="000D4DDB"/>
    <w:rsid w:val="000E1889"/>
    <w:rsid w:val="000F04FA"/>
    <w:rsid w:val="0010699A"/>
    <w:rsid w:val="001444EE"/>
    <w:rsid w:val="001515E1"/>
    <w:rsid w:val="0015383C"/>
    <w:rsid w:val="00164C26"/>
    <w:rsid w:val="00172E78"/>
    <w:rsid w:val="00195459"/>
    <w:rsid w:val="001A0A59"/>
    <w:rsid w:val="001B76D3"/>
    <w:rsid w:val="001D7169"/>
    <w:rsid w:val="001D7D62"/>
    <w:rsid w:val="001F6DA2"/>
    <w:rsid w:val="00203C79"/>
    <w:rsid w:val="00213F94"/>
    <w:rsid w:val="00215F1A"/>
    <w:rsid w:val="002235CA"/>
    <w:rsid w:val="00225378"/>
    <w:rsid w:val="00226B01"/>
    <w:rsid w:val="00247316"/>
    <w:rsid w:val="00253F04"/>
    <w:rsid w:val="00287FF9"/>
    <w:rsid w:val="00292BAB"/>
    <w:rsid w:val="002A1A67"/>
    <w:rsid w:val="002B6923"/>
    <w:rsid w:val="002C4449"/>
    <w:rsid w:val="002E59F2"/>
    <w:rsid w:val="003457AE"/>
    <w:rsid w:val="003545E2"/>
    <w:rsid w:val="00355390"/>
    <w:rsid w:val="0036742E"/>
    <w:rsid w:val="00370C36"/>
    <w:rsid w:val="00373EC0"/>
    <w:rsid w:val="00381040"/>
    <w:rsid w:val="003B5BA7"/>
    <w:rsid w:val="003C459D"/>
    <w:rsid w:val="003D21D3"/>
    <w:rsid w:val="003D6E63"/>
    <w:rsid w:val="003E34B8"/>
    <w:rsid w:val="003F79E8"/>
    <w:rsid w:val="00402181"/>
    <w:rsid w:val="00415A23"/>
    <w:rsid w:val="00422075"/>
    <w:rsid w:val="004437F1"/>
    <w:rsid w:val="00454E7B"/>
    <w:rsid w:val="004B0642"/>
    <w:rsid w:val="004C435E"/>
    <w:rsid w:val="004C4B5F"/>
    <w:rsid w:val="004E0863"/>
    <w:rsid w:val="004F6289"/>
    <w:rsid w:val="0052795A"/>
    <w:rsid w:val="00544D9C"/>
    <w:rsid w:val="0055082B"/>
    <w:rsid w:val="005731E7"/>
    <w:rsid w:val="00584620"/>
    <w:rsid w:val="005A0317"/>
    <w:rsid w:val="005B607A"/>
    <w:rsid w:val="005D62C6"/>
    <w:rsid w:val="005F1204"/>
    <w:rsid w:val="005F78AE"/>
    <w:rsid w:val="00605ED5"/>
    <w:rsid w:val="00615EA1"/>
    <w:rsid w:val="006360BD"/>
    <w:rsid w:val="00637DA3"/>
    <w:rsid w:val="00653066"/>
    <w:rsid w:val="00653240"/>
    <w:rsid w:val="00665BAD"/>
    <w:rsid w:val="0066795B"/>
    <w:rsid w:val="00671E7C"/>
    <w:rsid w:val="00685873"/>
    <w:rsid w:val="006909E9"/>
    <w:rsid w:val="00692FA7"/>
    <w:rsid w:val="006933A6"/>
    <w:rsid w:val="006A4E8C"/>
    <w:rsid w:val="006C36F0"/>
    <w:rsid w:val="006D43BE"/>
    <w:rsid w:val="006D5408"/>
    <w:rsid w:val="006E05BE"/>
    <w:rsid w:val="006E5C05"/>
    <w:rsid w:val="006F038F"/>
    <w:rsid w:val="00702588"/>
    <w:rsid w:val="00715B44"/>
    <w:rsid w:val="00727183"/>
    <w:rsid w:val="007519F9"/>
    <w:rsid w:val="00757B57"/>
    <w:rsid w:val="00766051"/>
    <w:rsid w:val="0078372D"/>
    <w:rsid w:val="00783E02"/>
    <w:rsid w:val="00825A79"/>
    <w:rsid w:val="00844355"/>
    <w:rsid w:val="0087167F"/>
    <w:rsid w:val="00884DB4"/>
    <w:rsid w:val="008A729D"/>
    <w:rsid w:val="008C3550"/>
    <w:rsid w:val="008E0F74"/>
    <w:rsid w:val="008F0CFC"/>
    <w:rsid w:val="00902C2A"/>
    <w:rsid w:val="009049D8"/>
    <w:rsid w:val="00915C22"/>
    <w:rsid w:val="00916AB4"/>
    <w:rsid w:val="009224FE"/>
    <w:rsid w:val="00952E9E"/>
    <w:rsid w:val="0096387A"/>
    <w:rsid w:val="00970A82"/>
    <w:rsid w:val="0097189A"/>
    <w:rsid w:val="00985DE9"/>
    <w:rsid w:val="00995A33"/>
    <w:rsid w:val="009A13B3"/>
    <w:rsid w:val="009A5857"/>
    <w:rsid w:val="009B0A2A"/>
    <w:rsid w:val="009C15CF"/>
    <w:rsid w:val="009C512B"/>
    <w:rsid w:val="009D5531"/>
    <w:rsid w:val="009E131D"/>
    <w:rsid w:val="009F2B76"/>
    <w:rsid w:val="00A050BE"/>
    <w:rsid w:val="00A278BB"/>
    <w:rsid w:val="00A40483"/>
    <w:rsid w:val="00A94731"/>
    <w:rsid w:val="00A95063"/>
    <w:rsid w:val="00AB1812"/>
    <w:rsid w:val="00AB35C0"/>
    <w:rsid w:val="00AD78E2"/>
    <w:rsid w:val="00AE18F9"/>
    <w:rsid w:val="00B22DBC"/>
    <w:rsid w:val="00B3311C"/>
    <w:rsid w:val="00B561ED"/>
    <w:rsid w:val="00B63991"/>
    <w:rsid w:val="00B6795D"/>
    <w:rsid w:val="00B72681"/>
    <w:rsid w:val="00B763CE"/>
    <w:rsid w:val="00B87A8B"/>
    <w:rsid w:val="00B919A5"/>
    <w:rsid w:val="00B95AA4"/>
    <w:rsid w:val="00B977F9"/>
    <w:rsid w:val="00BB6B03"/>
    <w:rsid w:val="00BC0331"/>
    <w:rsid w:val="00BC5097"/>
    <w:rsid w:val="00BE20F0"/>
    <w:rsid w:val="00BE32F3"/>
    <w:rsid w:val="00BE7797"/>
    <w:rsid w:val="00C1329C"/>
    <w:rsid w:val="00C2125D"/>
    <w:rsid w:val="00C40560"/>
    <w:rsid w:val="00C55AB1"/>
    <w:rsid w:val="00C67617"/>
    <w:rsid w:val="00C71883"/>
    <w:rsid w:val="00CE066A"/>
    <w:rsid w:val="00CE3CEB"/>
    <w:rsid w:val="00D0597C"/>
    <w:rsid w:val="00D36830"/>
    <w:rsid w:val="00D4647F"/>
    <w:rsid w:val="00D46F38"/>
    <w:rsid w:val="00D9012D"/>
    <w:rsid w:val="00DA1AE6"/>
    <w:rsid w:val="00DB226E"/>
    <w:rsid w:val="00DC19CB"/>
    <w:rsid w:val="00DC3BBA"/>
    <w:rsid w:val="00DD5F31"/>
    <w:rsid w:val="00DE394D"/>
    <w:rsid w:val="00DE60EF"/>
    <w:rsid w:val="00E041FD"/>
    <w:rsid w:val="00E04BD0"/>
    <w:rsid w:val="00E371FE"/>
    <w:rsid w:val="00E7311E"/>
    <w:rsid w:val="00E80FA5"/>
    <w:rsid w:val="00EA52E2"/>
    <w:rsid w:val="00EB2724"/>
    <w:rsid w:val="00EE364C"/>
    <w:rsid w:val="00EF6564"/>
    <w:rsid w:val="00F03367"/>
    <w:rsid w:val="00F036C9"/>
    <w:rsid w:val="00F159DA"/>
    <w:rsid w:val="00F170F2"/>
    <w:rsid w:val="00F2660F"/>
    <w:rsid w:val="00F42DAE"/>
    <w:rsid w:val="00F643EA"/>
    <w:rsid w:val="00F9004E"/>
    <w:rsid w:val="00F907CF"/>
    <w:rsid w:val="00F92A9F"/>
    <w:rsid w:val="00F950CD"/>
    <w:rsid w:val="00F95A1D"/>
    <w:rsid w:val="00FA704E"/>
    <w:rsid w:val="00FC7F68"/>
    <w:rsid w:val="01042CD0"/>
    <w:rsid w:val="0116312F"/>
    <w:rsid w:val="011949CD"/>
    <w:rsid w:val="011B0745"/>
    <w:rsid w:val="011C6F4E"/>
    <w:rsid w:val="011E0236"/>
    <w:rsid w:val="01213882"/>
    <w:rsid w:val="0123584C"/>
    <w:rsid w:val="01284C10"/>
    <w:rsid w:val="012872C5"/>
    <w:rsid w:val="012A3533"/>
    <w:rsid w:val="012F5F9F"/>
    <w:rsid w:val="0132783D"/>
    <w:rsid w:val="014D4677"/>
    <w:rsid w:val="014F03EF"/>
    <w:rsid w:val="015C2B0C"/>
    <w:rsid w:val="01610122"/>
    <w:rsid w:val="0167097F"/>
    <w:rsid w:val="01675B7A"/>
    <w:rsid w:val="016A1718"/>
    <w:rsid w:val="016F0A91"/>
    <w:rsid w:val="016F45ED"/>
    <w:rsid w:val="01722330"/>
    <w:rsid w:val="0179546C"/>
    <w:rsid w:val="017B2F92"/>
    <w:rsid w:val="017D31AE"/>
    <w:rsid w:val="018362EB"/>
    <w:rsid w:val="01875DDB"/>
    <w:rsid w:val="018A7679"/>
    <w:rsid w:val="0196601E"/>
    <w:rsid w:val="01A249C3"/>
    <w:rsid w:val="01A31ABB"/>
    <w:rsid w:val="01A56261"/>
    <w:rsid w:val="01B14C06"/>
    <w:rsid w:val="01B666C0"/>
    <w:rsid w:val="01BB3CD7"/>
    <w:rsid w:val="01C052F5"/>
    <w:rsid w:val="01CC3087"/>
    <w:rsid w:val="01CF4D20"/>
    <w:rsid w:val="01D37272"/>
    <w:rsid w:val="01D9415D"/>
    <w:rsid w:val="01E41B1F"/>
    <w:rsid w:val="01F04BCC"/>
    <w:rsid w:val="01F1594A"/>
    <w:rsid w:val="01F9035B"/>
    <w:rsid w:val="01FE5971"/>
    <w:rsid w:val="02031F37"/>
    <w:rsid w:val="0203624C"/>
    <w:rsid w:val="0204567E"/>
    <w:rsid w:val="020C62E0"/>
    <w:rsid w:val="02151639"/>
    <w:rsid w:val="02186A33"/>
    <w:rsid w:val="021A27AB"/>
    <w:rsid w:val="021F7DC1"/>
    <w:rsid w:val="02317AF5"/>
    <w:rsid w:val="023575E5"/>
    <w:rsid w:val="02380E83"/>
    <w:rsid w:val="023A2E4D"/>
    <w:rsid w:val="023B6BC5"/>
    <w:rsid w:val="024912E2"/>
    <w:rsid w:val="02493090"/>
    <w:rsid w:val="024E06A7"/>
    <w:rsid w:val="02557C87"/>
    <w:rsid w:val="025739FF"/>
    <w:rsid w:val="02581525"/>
    <w:rsid w:val="025B2DC4"/>
    <w:rsid w:val="02693733"/>
    <w:rsid w:val="026B3007"/>
    <w:rsid w:val="0270686F"/>
    <w:rsid w:val="0273010D"/>
    <w:rsid w:val="027520D7"/>
    <w:rsid w:val="02774EAE"/>
    <w:rsid w:val="02810A7C"/>
    <w:rsid w:val="02867E21"/>
    <w:rsid w:val="02873BB9"/>
    <w:rsid w:val="02921645"/>
    <w:rsid w:val="02922C89"/>
    <w:rsid w:val="029F7154"/>
    <w:rsid w:val="02A429BD"/>
    <w:rsid w:val="02AB5AF9"/>
    <w:rsid w:val="02AE55E9"/>
    <w:rsid w:val="02B7624C"/>
    <w:rsid w:val="02C02349"/>
    <w:rsid w:val="02C72207"/>
    <w:rsid w:val="02C92423"/>
    <w:rsid w:val="02CB1CF7"/>
    <w:rsid w:val="02CD1F13"/>
    <w:rsid w:val="02D23086"/>
    <w:rsid w:val="02E27461"/>
    <w:rsid w:val="02E828A9"/>
    <w:rsid w:val="02E84657"/>
    <w:rsid w:val="02EC5721"/>
    <w:rsid w:val="02F26656"/>
    <w:rsid w:val="02FA438B"/>
    <w:rsid w:val="02FC0103"/>
    <w:rsid w:val="03080B70"/>
    <w:rsid w:val="03101E00"/>
    <w:rsid w:val="032338E1"/>
    <w:rsid w:val="032C3AA0"/>
    <w:rsid w:val="033349EE"/>
    <w:rsid w:val="03394EB3"/>
    <w:rsid w:val="033F6241"/>
    <w:rsid w:val="03463A74"/>
    <w:rsid w:val="034D0920"/>
    <w:rsid w:val="035C032D"/>
    <w:rsid w:val="035C6DF3"/>
    <w:rsid w:val="036B5288"/>
    <w:rsid w:val="036C34DA"/>
    <w:rsid w:val="036D1000"/>
    <w:rsid w:val="036F4D79"/>
    <w:rsid w:val="03716D43"/>
    <w:rsid w:val="03800D34"/>
    <w:rsid w:val="038317DC"/>
    <w:rsid w:val="03863E70"/>
    <w:rsid w:val="038F541B"/>
    <w:rsid w:val="0397607D"/>
    <w:rsid w:val="039B3DC0"/>
    <w:rsid w:val="039C3694"/>
    <w:rsid w:val="03A964DC"/>
    <w:rsid w:val="03B409DD"/>
    <w:rsid w:val="03B60BF9"/>
    <w:rsid w:val="03BB1D6C"/>
    <w:rsid w:val="03BB788D"/>
    <w:rsid w:val="03C03826"/>
    <w:rsid w:val="03C2759E"/>
    <w:rsid w:val="03D270B5"/>
    <w:rsid w:val="03D35307"/>
    <w:rsid w:val="03E413E4"/>
    <w:rsid w:val="03E94B2B"/>
    <w:rsid w:val="03EA43FF"/>
    <w:rsid w:val="03EB3510"/>
    <w:rsid w:val="03EE0393"/>
    <w:rsid w:val="03EE2141"/>
    <w:rsid w:val="03F31506"/>
    <w:rsid w:val="03F4527E"/>
    <w:rsid w:val="03F67248"/>
    <w:rsid w:val="03F86B1C"/>
    <w:rsid w:val="03FB485E"/>
    <w:rsid w:val="040354C1"/>
    <w:rsid w:val="040362F8"/>
    <w:rsid w:val="04043713"/>
    <w:rsid w:val="04074FB1"/>
    <w:rsid w:val="040A4AA1"/>
    <w:rsid w:val="04115E30"/>
    <w:rsid w:val="04185410"/>
    <w:rsid w:val="041E2A05"/>
    <w:rsid w:val="042042C5"/>
    <w:rsid w:val="04221DEB"/>
    <w:rsid w:val="04287F07"/>
    <w:rsid w:val="04293179"/>
    <w:rsid w:val="042F62B6"/>
    <w:rsid w:val="04363AE8"/>
    <w:rsid w:val="04437768"/>
    <w:rsid w:val="044C6E68"/>
    <w:rsid w:val="044F5D46"/>
    <w:rsid w:val="04581CB1"/>
    <w:rsid w:val="045D1075"/>
    <w:rsid w:val="045E7882"/>
    <w:rsid w:val="04602913"/>
    <w:rsid w:val="046441B2"/>
    <w:rsid w:val="04673CA2"/>
    <w:rsid w:val="04706FFA"/>
    <w:rsid w:val="047F0BCC"/>
    <w:rsid w:val="04812FB5"/>
    <w:rsid w:val="048A4B83"/>
    <w:rsid w:val="04910D1F"/>
    <w:rsid w:val="049251C3"/>
    <w:rsid w:val="04956A61"/>
    <w:rsid w:val="04966335"/>
    <w:rsid w:val="049B3062"/>
    <w:rsid w:val="049D76C3"/>
    <w:rsid w:val="049E608A"/>
    <w:rsid w:val="049F2FCB"/>
    <w:rsid w:val="04AB1DE0"/>
    <w:rsid w:val="04AD3DAA"/>
    <w:rsid w:val="04B073F7"/>
    <w:rsid w:val="04B14F1D"/>
    <w:rsid w:val="04D01847"/>
    <w:rsid w:val="04D56E5D"/>
    <w:rsid w:val="04D82817"/>
    <w:rsid w:val="04E90B5B"/>
    <w:rsid w:val="04E92909"/>
    <w:rsid w:val="04EB6681"/>
    <w:rsid w:val="04F25C61"/>
    <w:rsid w:val="04F82B4C"/>
    <w:rsid w:val="04F96FF0"/>
    <w:rsid w:val="04FA2D68"/>
    <w:rsid w:val="0504441F"/>
    <w:rsid w:val="05047666"/>
    <w:rsid w:val="050B0AD1"/>
    <w:rsid w:val="050D6CCC"/>
    <w:rsid w:val="050E411D"/>
    <w:rsid w:val="05151950"/>
    <w:rsid w:val="052102F4"/>
    <w:rsid w:val="052851DF"/>
    <w:rsid w:val="052B2F21"/>
    <w:rsid w:val="052B4CCF"/>
    <w:rsid w:val="053973EC"/>
    <w:rsid w:val="053A3164"/>
    <w:rsid w:val="05404C1F"/>
    <w:rsid w:val="05461B09"/>
    <w:rsid w:val="054C7076"/>
    <w:rsid w:val="05502988"/>
    <w:rsid w:val="05595CE0"/>
    <w:rsid w:val="055A7363"/>
    <w:rsid w:val="05654685"/>
    <w:rsid w:val="056A57F8"/>
    <w:rsid w:val="056D353A"/>
    <w:rsid w:val="05793B6C"/>
    <w:rsid w:val="057B7A05"/>
    <w:rsid w:val="05810D93"/>
    <w:rsid w:val="05880374"/>
    <w:rsid w:val="058A7C48"/>
    <w:rsid w:val="058C5F42"/>
    <w:rsid w:val="058D14E6"/>
    <w:rsid w:val="058F34B0"/>
    <w:rsid w:val="05922FA0"/>
    <w:rsid w:val="059C7CF2"/>
    <w:rsid w:val="05A36F5B"/>
    <w:rsid w:val="05AD7DDA"/>
    <w:rsid w:val="05B72A07"/>
    <w:rsid w:val="05C018BB"/>
    <w:rsid w:val="05D215EF"/>
    <w:rsid w:val="05D47115"/>
    <w:rsid w:val="05E732EC"/>
    <w:rsid w:val="05E7509A"/>
    <w:rsid w:val="05ED01D7"/>
    <w:rsid w:val="05F17F09"/>
    <w:rsid w:val="05F9301F"/>
    <w:rsid w:val="05FB28F4"/>
    <w:rsid w:val="06020126"/>
    <w:rsid w:val="06071298"/>
    <w:rsid w:val="060A2B37"/>
    <w:rsid w:val="061439B5"/>
    <w:rsid w:val="061B4DDA"/>
    <w:rsid w:val="062005AC"/>
    <w:rsid w:val="06293014"/>
    <w:rsid w:val="062A50BE"/>
    <w:rsid w:val="06316315"/>
    <w:rsid w:val="0633734B"/>
    <w:rsid w:val="064047AA"/>
    <w:rsid w:val="064222D0"/>
    <w:rsid w:val="06450013"/>
    <w:rsid w:val="06451DC1"/>
    <w:rsid w:val="06510766"/>
    <w:rsid w:val="065B15E4"/>
    <w:rsid w:val="0664493D"/>
    <w:rsid w:val="06654211"/>
    <w:rsid w:val="06691F53"/>
    <w:rsid w:val="066E30C6"/>
    <w:rsid w:val="066F6E3E"/>
    <w:rsid w:val="06732DD2"/>
    <w:rsid w:val="0676641E"/>
    <w:rsid w:val="06783F44"/>
    <w:rsid w:val="067B57E2"/>
    <w:rsid w:val="06890194"/>
    <w:rsid w:val="068E00BE"/>
    <w:rsid w:val="068E5516"/>
    <w:rsid w:val="069114AA"/>
    <w:rsid w:val="069D1BFD"/>
    <w:rsid w:val="06AC1E40"/>
    <w:rsid w:val="06B33D85"/>
    <w:rsid w:val="06B807E5"/>
    <w:rsid w:val="06BE1D26"/>
    <w:rsid w:val="06C947A0"/>
    <w:rsid w:val="06D575E9"/>
    <w:rsid w:val="06D66EBD"/>
    <w:rsid w:val="06DA075B"/>
    <w:rsid w:val="06DF2215"/>
    <w:rsid w:val="06E62851"/>
    <w:rsid w:val="06E822A2"/>
    <w:rsid w:val="06ED70F3"/>
    <w:rsid w:val="06EF3E58"/>
    <w:rsid w:val="06EF7F61"/>
    <w:rsid w:val="06FC2DC7"/>
    <w:rsid w:val="06FC4B75"/>
    <w:rsid w:val="07066B7C"/>
    <w:rsid w:val="070B6B66"/>
    <w:rsid w:val="07177C01"/>
    <w:rsid w:val="071C6FC5"/>
    <w:rsid w:val="071D689A"/>
    <w:rsid w:val="0721045F"/>
    <w:rsid w:val="07230354"/>
    <w:rsid w:val="07351E35"/>
    <w:rsid w:val="07372051"/>
    <w:rsid w:val="07375BAD"/>
    <w:rsid w:val="0739256A"/>
    <w:rsid w:val="074309F6"/>
    <w:rsid w:val="074A1D85"/>
    <w:rsid w:val="074F739B"/>
    <w:rsid w:val="07520C39"/>
    <w:rsid w:val="07550729"/>
    <w:rsid w:val="075524D7"/>
    <w:rsid w:val="075B18E0"/>
    <w:rsid w:val="07634BF4"/>
    <w:rsid w:val="076A5F83"/>
    <w:rsid w:val="076D3D5F"/>
    <w:rsid w:val="0774548E"/>
    <w:rsid w:val="07762B7A"/>
    <w:rsid w:val="077A3CEC"/>
    <w:rsid w:val="077C1812"/>
    <w:rsid w:val="07837045"/>
    <w:rsid w:val="07846919"/>
    <w:rsid w:val="07852DBD"/>
    <w:rsid w:val="0788465B"/>
    <w:rsid w:val="0792035C"/>
    <w:rsid w:val="079347E1"/>
    <w:rsid w:val="07A02804"/>
    <w:rsid w:val="07AA637F"/>
    <w:rsid w:val="07B70A9C"/>
    <w:rsid w:val="07B951D4"/>
    <w:rsid w:val="07C42FDB"/>
    <w:rsid w:val="07CF228A"/>
    <w:rsid w:val="07D16002"/>
    <w:rsid w:val="07D366E3"/>
    <w:rsid w:val="07E01DA1"/>
    <w:rsid w:val="07E2277C"/>
    <w:rsid w:val="07E55609"/>
    <w:rsid w:val="07E80381"/>
    <w:rsid w:val="07E8622D"/>
    <w:rsid w:val="07F13FAE"/>
    <w:rsid w:val="07FD6DF7"/>
    <w:rsid w:val="080261BB"/>
    <w:rsid w:val="0808579C"/>
    <w:rsid w:val="08123F24"/>
    <w:rsid w:val="081B54CF"/>
    <w:rsid w:val="081E6D6D"/>
    <w:rsid w:val="082500FC"/>
    <w:rsid w:val="082D5C68"/>
    <w:rsid w:val="08316AA1"/>
    <w:rsid w:val="08362309"/>
    <w:rsid w:val="0837398B"/>
    <w:rsid w:val="08464D03"/>
    <w:rsid w:val="08564892"/>
    <w:rsid w:val="085E716A"/>
    <w:rsid w:val="085F360E"/>
    <w:rsid w:val="086A1FB2"/>
    <w:rsid w:val="08793FA4"/>
    <w:rsid w:val="088210AA"/>
    <w:rsid w:val="088A4403"/>
    <w:rsid w:val="088C1F29"/>
    <w:rsid w:val="088E5CA1"/>
    <w:rsid w:val="08955281"/>
    <w:rsid w:val="08964B56"/>
    <w:rsid w:val="0898267C"/>
    <w:rsid w:val="08990786"/>
    <w:rsid w:val="08BD0334"/>
    <w:rsid w:val="08C16076"/>
    <w:rsid w:val="08C276F9"/>
    <w:rsid w:val="08C43471"/>
    <w:rsid w:val="08CB0CA3"/>
    <w:rsid w:val="08CB2A51"/>
    <w:rsid w:val="08CC4A1B"/>
    <w:rsid w:val="08DA7138"/>
    <w:rsid w:val="08E04D27"/>
    <w:rsid w:val="08E65ADD"/>
    <w:rsid w:val="08EA0F2D"/>
    <w:rsid w:val="08F17FDE"/>
    <w:rsid w:val="08F2252A"/>
    <w:rsid w:val="08FD2E27"/>
    <w:rsid w:val="09000221"/>
    <w:rsid w:val="09075A53"/>
    <w:rsid w:val="090B10A0"/>
    <w:rsid w:val="0921144B"/>
    <w:rsid w:val="0922463B"/>
    <w:rsid w:val="092403B3"/>
    <w:rsid w:val="09242161"/>
    <w:rsid w:val="092959CA"/>
    <w:rsid w:val="092B1742"/>
    <w:rsid w:val="092D370C"/>
    <w:rsid w:val="092E2FE0"/>
    <w:rsid w:val="09385C0D"/>
    <w:rsid w:val="09394324"/>
    <w:rsid w:val="093A7BD7"/>
    <w:rsid w:val="093E76C7"/>
    <w:rsid w:val="09410F65"/>
    <w:rsid w:val="09412D13"/>
    <w:rsid w:val="09422EF5"/>
    <w:rsid w:val="094840A2"/>
    <w:rsid w:val="094E5430"/>
    <w:rsid w:val="09523172"/>
    <w:rsid w:val="09594501"/>
    <w:rsid w:val="095A6EF6"/>
    <w:rsid w:val="095C18FB"/>
    <w:rsid w:val="095C5D9F"/>
    <w:rsid w:val="096B1B3E"/>
    <w:rsid w:val="096B60C7"/>
    <w:rsid w:val="097C3D4B"/>
    <w:rsid w:val="097E3F67"/>
    <w:rsid w:val="09815806"/>
    <w:rsid w:val="09840E52"/>
    <w:rsid w:val="098A290C"/>
    <w:rsid w:val="098B0432"/>
    <w:rsid w:val="09916EF4"/>
    <w:rsid w:val="099E3CC2"/>
    <w:rsid w:val="09A432A2"/>
    <w:rsid w:val="09A6526C"/>
    <w:rsid w:val="09AF5ECF"/>
    <w:rsid w:val="09BA2AC6"/>
    <w:rsid w:val="09C6146A"/>
    <w:rsid w:val="09CA0F5B"/>
    <w:rsid w:val="09CB6A81"/>
    <w:rsid w:val="09D05E45"/>
    <w:rsid w:val="09D678FF"/>
    <w:rsid w:val="09D73678"/>
    <w:rsid w:val="09DC2A3C"/>
    <w:rsid w:val="09DF42DA"/>
    <w:rsid w:val="09E813E1"/>
    <w:rsid w:val="09F71624"/>
    <w:rsid w:val="09FD4021"/>
    <w:rsid w:val="0A014251"/>
    <w:rsid w:val="0A0B50CF"/>
    <w:rsid w:val="0A0C1573"/>
    <w:rsid w:val="0A0D0E47"/>
    <w:rsid w:val="0A1B5312"/>
    <w:rsid w:val="0A1E12A6"/>
    <w:rsid w:val="0A200B7B"/>
    <w:rsid w:val="0A225497"/>
    <w:rsid w:val="0A23066B"/>
    <w:rsid w:val="0A3208AE"/>
    <w:rsid w:val="0A342878"/>
    <w:rsid w:val="0A36214C"/>
    <w:rsid w:val="0A374116"/>
    <w:rsid w:val="0A425CA2"/>
    <w:rsid w:val="0A446CFB"/>
    <w:rsid w:val="0A486323"/>
    <w:rsid w:val="0A4D56E8"/>
    <w:rsid w:val="0A590531"/>
    <w:rsid w:val="0A5D1DCF"/>
    <w:rsid w:val="0A5F5B47"/>
    <w:rsid w:val="0A690774"/>
    <w:rsid w:val="0A6A0048"/>
    <w:rsid w:val="0A762E91"/>
    <w:rsid w:val="0A764C3F"/>
    <w:rsid w:val="0A79472F"/>
    <w:rsid w:val="0A821835"/>
    <w:rsid w:val="0A8315F6"/>
    <w:rsid w:val="0A911A78"/>
    <w:rsid w:val="0A9D666F"/>
    <w:rsid w:val="0AA90B70"/>
    <w:rsid w:val="0AAE262A"/>
    <w:rsid w:val="0AB1211B"/>
    <w:rsid w:val="0AB74923"/>
    <w:rsid w:val="0ABB6AF5"/>
    <w:rsid w:val="0ABD461B"/>
    <w:rsid w:val="0AC0410C"/>
    <w:rsid w:val="0AD55E09"/>
    <w:rsid w:val="0AD6133C"/>
    <w:rsid w:val="0AE20526"/>
    <w:rsid w:val="0AE24082"/>
    <w:rsid w:val="0AE4604C"/>
    <w:rsid w:val="0AE95411"/>
    <w:rsid w:val="0AF674AA"/>
    <w:rsid w:val="0AFB5144"/>
    <w:rsid w:val="0AFF2E86"/>
    <w:rsid w:val="0B064214"/>
    <w:rsid w:val="0B073AE9"/>
    <w:rsid w:val="0B0E30C9"/>
    <w:rsid w:val="0B0E4E77"/>
    <w:rsid w:val="0B154457"/>
    <w:rsid w:val="0B183F48"/>
    <w:rsid w:val="0B1F52D6"/>
    <w:rsid w:val="0B220922"/>
    <w:rsid w:val="0B260413"/>
    <w:rsid w:val="0B275F39"/>
    <w:rsid w:val="0B3A2110"/>
    <w:rsid w:val="0B3D5271"/>
    <w:rsid w:val="0B3F3282"/>
    <w:rsid w:val="0B415C29"/>
    <w:rsid w:val="0B470389"/>
    <w:rsid w:val="0B505490"/>
    <w:rsid w:val="0B513F1B"/>
    <w:rsid w:val="0B521208"/>
    <w:rsid w:val="0B523F6F"/>
    <w:rsid w:val="0B610D74"/>
    <w:rsid w:val="0B61769D"/>
    <w:rsid w:val="0B662F05"/>
    <w:rsid w:val="0B6A1622"/>
    <w:rsid w:val="0B6E2A14"/>
    <w:rsid w:val="0B72255A"/>
    <w:rsid w:val="0B7373D0"/>
    <w:rsid w:val="0B7437AF"/>
    <w:rsid w:val="0B754EF6"/>
    <w:rsid w:val="0B860EB1"/>
    <w:rsid w:val="0B8769D7"/>
    <w:rsid w:val="0B8E5FB8"/>
    <w:rsid w:val="0B9510F4"/>
    <w:rsid w:val="0B97319E"/>
    <w:rsid w:val="0B974E6D"/>
    <w:rsid w:val="0B9E1294"/>
    <w:rsid w:val="0B9F1F73"/>
    <w:rsid w:val="0BA23811"/>
    <w:rsid w:val="0BA37CB5"/>
    <w:rsid w:val="0BAA1044"/>
    <w:rsid w:val="0BAB6B6A"/>
    <w:rsid w:val="0BB05F2E"/>
    <w:rsid w:val="0BB73761"/>
    <w:rsid w:val="0BB7550F"/>
    <w:rsid w:val="0BBC2B25"/>
    <w:rsid w:val="0BC67500"/>
    <w:rsid w:val="0BCD4D32"/>
    <w:rsid w:val="0BD10FD4"/>
    <w:rsid w:val="0BD25EA5"/>
    <w:rsid w:val="0BDE2A9B"/>
    <w:rsid w:val="0BDF6813"/>
    <w:rsid w:val="0BE65DF4"/>
    <w:rsid w:val="0BEA32BC"/>
    <w:rsid w:val="0BEB52CB"/>
    <w:rsid w:val="0BF978D5"/>
    <w:rsid w:val="0BFE6C9A"/>
    <w:rsid w:val="0C000C64"/>
    <w:rsid w:val="0C01678A"/>
    <w:rsid w:val="0C040028"/>
    <w:rsid w:val="0C0544CC"/>
    <w:rsid w:val="0C060244"/>
    <w:rsid w:val="0C063DA0"/>
    <w:rsid w:val="0C091ED2"/>
    <w:rsid w:val="0C1069CD"/>
    <w:rsid w:val="0C1B3CF0"/>
    <w:rsid w:val="0C1E57C9"/>
    <w:rsid w:val="0C1F62F8"/>
    <w:rsid w:val="0C22507E"/>
    <w:rsid w:val="0C236700"/>
    <w:rsid w:val="0C2413C0"/>
    <w:rsid w:val="0C2A5CE1"/>
    <w:rsid w:val="0C3628D7"/>
    <w:rsid w:val="0C3B7EEE"/>
    <w:rsid w:val="0C452B1A"/>
    <w:rsid w:val="0C4548C9"/>
    <w:rsid w:val="0C4C20FB"/>
    <w:rsid w:val="0C55545F"/>
    <w:rsid w:val="0C711B61"/>
    <w:rsid w:val="0C7156BE"/>
    <w:rsid w:val="0C7451AE"/>
    <w:rsid w:val="0C760F26"/>
    <w:rsid w:val="0C7630CC"/>
    <w:rsid w:val="0C7B478E"/>
    <w:rsid w:val="0C8278CB"/>
    <w:rsid w:val="0C8A3A8B"/>
    <w:rsid w:val="0C8C1F09"/>
    <w:rsid w:val="0C945850"/>
    <w:rsid w:val="0C9475FE"/>
    <w:rsid w:val="0C95199F"/>
    <w:rsid w:val="0C963376"/>
    <w:rsid w:val="0C970E9C"/>
    <w:rsid w:val="0CA02447"/>
    <w:rsid w:val="0CA5180B"/>
    <w:rsid w:val="0CAA0BCF"/>
    <w:rsid w:val="0CAD246E"/>
    <w:rsid w:val="0CB33F28"/>
    <w:rsid w:val="0CB47CA0"/>
    <w:rsid w:val="0CB657C6"/>
    <w:rsid w:val="0CCF4ADA"/>
    <w:rsid w:val="0CD43E9E"/>
    <w:rsid w:val="0CD914B5"/>
    <w:rsid w:val="0CE02BD9"/>
    <w:rsid w:val="0CE20E79"/>
    <w:rsid w:val="0CE43EAE"/>
    <w:rsid w:val="0CE51C08"/>
    <w:rsid w:val="0CEC768D"/>
    <w:rsid w:val="0CEE4F60"/>
    <w:rsid w:val="0CF167FE"/>
    <w:rsid w:val="0CF41BEF"/>
    <w:rsid w:val="0D1F336B"/>
    <w:rsid w:val="0D2210AE"/>
    <w:rsid w:val="0D23138E"/>
    <w:rsid w:val="0D244E26"/>
    <w:rsid w:val="0D330BC5"/>
    <w:rsid w:val="0D3861DB"/>
    <w:rsid w:val="0D3B3F1D"/>
    <w:rsid w:val="0D444B80"/>
    <w:rsid w:val="0D501777"/>
    <w:rsid w:val="0D5154EF"/>
    <w:rsid w:val="0D554FDF"/>
    <w:rsid w:val="0D5648B3"/>
    <w:rsid w:val="0D5713F5"/>
    <w:rsid w:val="0D5D3C2C"/>
    <w:rsid w:val="0D5D3E94"/>
    <w:rsid w:val="0D682F64"/>
    <w:rsid w:val="0D6945E7"/>
    <w:rsid w:val="0D6B65B1"/>
    <w:rsid w:val="0D7119FF"/>
    <w:rsid w:val="0D7336B7"/>
    <w:rsid w:val="0D742F63"/>
    <w:rsid w:val="0D75742F"/>
    <w:rsid w:val="0D896A37"/>
    <w:rsid w:val="0D9553DC"/>
    <w:rsid w:val="0D9755F8"/>
    <w:rsid w:val="0D9D457B"/>
    <w:rsid w:val="0DA10224"/>
    <w:rsid w:val="0DA16476"/>
    <w:rsid w:val="0DA27AF9"/>
    <w:rsid w:val="0DA6583B"/>
    <w:rsid w:val="0DB241E0"/>
    <w:rsid w:val="0DB37EE2"/>
    <w:rsid w:val="0DB53CD0"/>
    <w:rsid w:val="0DC363ED"/>
    <w:rsid w:val="0DC67C8B"/>
    <w:rsid w:val="0DCB52A1"/>
    <w:rsid w:val="0DD028B8"/>
    <w:rsid w:val="0DDE4FD5"/>
    <w:rsid w:val="0DDF2AFB"/>
    <w:rsid w:val="0DE829E5"/>
    <w:rsid w:val="0DEA1BCB"/>
    <w:rsid w:val="0DEC7275"/>
    <w:rsid w:val="0DF22D9C"/>
    <w:rsid w:val="0DF309E4"/>
    <w:rsid w:val="0DF465A6"/>
    <w:rsid w:val="0E032C8D"/>
    <w:rsid w:val="0E093744"/>
    <w:rsid w:val="0E0B02BC"/>
    <w:rsid w:val="0E0B38F0"/>
    <w:rsid w:val="0E2055ED"/>
    <w:rsid w:val="0E250E55"/>
    <w:rsid w:val="0E2844A2"/>
    <w:rsid w:val="0E2D1AB8"/>
    <w:rsid w:val="0E332807"/>
    <w:rsid w:val="0E35096D"/>
    <w:rsid w:val="0E4137B5"/>
    <w:rsid w:val="0E456E02"/>
    <w:rsid w:val="0E4E762A"/>
    <w:rsid w:val="0E50774C"/>
    <w:rsid w:val="0E527771"/>
    <w:rsid w:val="0E5928AD"/>
    <w:rsid w:val="0E5A59B2"/>
    <w:rsid w:val="0E5E4367"/>
    <w:rsid w:val="0E666B26"/>
    <w:rsid w:val="0E6A4ABA"/>
    <w:rsid w:val="0E6E2335"/>
    <w:rsid w:val="0E6F20D1"/>
    <w:rsid w:val="0E7476AF"/>
    <w:rsid w:val="0E782F04"/>
    <w:rsid w:val="0E792F4F"/>
    <w:rsid w:val="0E7F4225"/>
    <w:rsid w:val="0E8006AC"/>
    <w:rsid w:val="0E807E3A"/>
    <w:rsid w:val="0E835B7C"/>
    <w:rsid w:val="0E8611C8"/>
    <w:rsid w:val="0E89799F"/>
    <w:rsid w:val="0E8C4A31"/>
    <w:rsid w:val="0E8F2773"/>
    <w:rsid w:val="0E925DBF"/>
    <w:rsid w:val="0E927B6D"/>
    <w:rsid w:val="0E9C279A"/>
    <w:rsid w:val="0E9E29B6"/>
    <w:rsid w:val="0EA77ABC"/>
    <w:rsid w:val="0EAC0C2F"/>
    <w:rsid w:val="0EB421D9"/>
    <w:rsid w:val="0EB6385C"/>
    <w:rsid w:val="0EB775D4"/>
    <w:rsid w:val="0EBB5316"/>
    <w:rsid w:val="0ECD0101"/>
    <w:rsid w:val="0ED63EFE"/>
    <w:rsid w:val="0EDD528C"/>
    <w:rsid w:val="0EE02FCE"/>
    <w:rsid w:val="0EE4486D"/>
    <w:rsid w:val="0EE815E2"/>
    <w:rsid w:val="0EEC478A"/>
    <w:rsid w:val="0EEF6D6E"/>
    <w:rsid w:val="0EF83E74"/>
    <w:rsid w:val="0EF95E3E"/>
    <w:rsid w:val="0EFB5712"/>
    <w:rsid w:val="0EFE5203"/>
    <w:rsid w:val="0F022F45"/>
    <w:rsid w:val="0F040A6B"/>
    <w:rsid w:val="0F0547E3"/>
    <w:rsid w:val="0F0740B7"/>
    <w:rsid w:val="0F0E18EA"/>
    <w:rsid w:val="0F1A4254"/>
    <w:rsid w:val="0F1B7B63"/>
    <w:rsid w:val="0F1E7653"/>
    <w:rsid w:val="0F340C24"/>
    <w:rsid w:val="0F3677FC"/>
    <w:rsid w:val="0F3D21CF"/>
    <w:rsid w:val="0F3E3F14"/>
    <w:rsid w:val="0F4075C9"/>
    <w:rsid w:val="0F44530B"/>
    <w:rsid w:val="0F4C0664"/>
    <w:rsid w:val="0F53554E"/>
    <w:rsid w:val="0F5B2655"/>
    <w:rsid w:val="0F5D2ECD"/>
    <w:rsid w:val="0F6459AD"/>
    <w:rsid w:val="0F691F09"/>
    <w:rsid w:val="0F70289D"/>
    <w:rsid w:val="0F74272C"/>
    <w:rsid w:val="0F753717"/>
    <w:rsid w:val="0F781459"/>
    <w:rsid w:val="0F784FB5"/>
    <w:rsid w:val="0F7A6F7F"/>
    <w:rsid w:val="0F7D5F98"/>
    <w:rsid w:val="0F865924"/>
    <w:rsid w:val="0F931DEF"/>
    <w:rsid w:val="0F974FFC"/>
    <w:rsid w:val="0F9D2C6D"/>
    <w:rsid w:val="0FA638D0"/>
    <w:rsid w:val="0FA83AEC"/>
    <w:rsid w:val="0FA91AB2"/>
    <w:rsid w:val="0FAB0EE6"/>
    <w:rsid w:val="0FB35FED"/>
    <w:rsid w:val="0FBA381F"/>
    <w:rsid w:val="0FBF0E36"/>
    <w:rsid w:val="0FBF2BE4"/>
    <w:rsid w:val="0FC1695C"/>
    <w:rsid w:val="0FC47D2E"/>
    <w:rsid w:val="0FD74DED"/>
    <w:rsid w:val="0FD77F2D"/>
    <w:rsid w:val="0FDC3796"/>
    <w:rsid w:val="0FE7386A"/>
    <w:rsid w:val="0FE91A0F"/>
    <w:rsid w:val="0FE95EB3"/>
    <w:rsid w:val="0FF07241"/>
    <w:rsid w:val="0FF52AA9"/>
    <w:rsid w:val="0FF67DE6"/>
    <w:rsid w:val="1001144E"/>
    <w:rsid w:val="100827DD"/>
    <w:rsid w:val="10090303"/>
    <w:rsid w:val="100E0101"/>
    <w:rsid w:val="100F5919"/>
    <w:rsid w:val="1013440E"/>
    <w:rsid w:val="10156CA8"/>
    <w:rsid w:val="101A42BE"/>
    <w:rsid w:val="101C0036"/>
    <w:rsid w:val="101C3B92"/>
    <w:rsid w:val="101E3DAE"/>
    <w:rsid w:val="10230E97"/>
    <w:rsid w:val="10285EF7"/>
    <w:rsid w:val="102B2027"/>
    <w:rsid w:val="102B64CB"/>
    <w:rsid w:val="103510F8"/>
    <w:rsid w:val="103B2F56"/>
    <w:rsid w:val="10433815"/>
    <w:rsid w:val="104A524D"/>
    <w:rsid w:val="104B091B"/>
    <w:rsid w:val="1054157E"/>
    <w:rsid w:val="10572E1C"/>
    <w:rsid w:val="10594DE6"/>
    <w:rsid w:val="105B508F"/>
    <w:rsid w:val="105B6508"/>
    <w:rsid w:val="105E23FD"/>
    <w:rsid w:val="106317C1"/>
    <w:rsid w:val="10686DD7"/>
    <w:rsid w:val="106B4B1A"/>
    <w:rsid w:val="106F63B8"/>
    <w:rsid w:val="10710382"/>
    <w:rsid w:val="10760BFC"/>
    <w:rsid w:val="1081433D"/>
    <w:rsid w:val="108D683E"/>
    <w:rsid w:val="109127D2"/>
    <w:rsid w:val="10947BCD"/>
    <w:rsid w:val="10967DE9"/>
    <w:rsid w:val="10993435"/>
    <w:rsid w:val="109E0A4B"/>
    <w:rsid w:val="10A122E9"/>
    <w:rsid w:val="10A27DA2"/>
    <w:rsid w:val="10AC2452"/>
    <w:rsid w:val="10B85FB1"/>
    <w:rsid w:val="10C77FA2"/>
    <w:rsid w:val="10D17073"/>
    <w:rsid w:val="10D91A83"/>
    <w:rsid w:val="10DB57FB"/>
    <w:rsid w:val="10E16B8A"/>
    <w:rsid w:val="10EA0134"/>
    <w:rsid w:val="10EA5A3E"/>
    <w:rsid w:val="10EF12A7"/>
    <w:rsid w:val="10F60887"/>
    <w:rsid w:val="1102547E"/>
    <w:rsid w:val="110C1E59"/>
    <w:rsid w:val="1110038B"/>
    <w:rsid w:val="111C3DB7"/>
    <w:rsid w:val="111D7BC2"/>
    <w:rsid w:val="11203B56"/>
    <w:rsid w:val="112854E1"/>
    <w:rsid w:val="113B42FB"/>
    <w:rsid w:val="113D2012"/>
    <w:rsid w:val="113E5D8A"/>
    <w:rsid w:val="114415F3"/>
    <w:rsid w:val="115832F0"/>
    <w:rsid w:val="11643A43"/>
    <w:rsid w:val="11663183"/>
    <w:rsid w:val="116779CD"/>
    <w:rsid w:val="116C5ECD"/>
    <w:rsid w:val="116E2B13"/>
    <w:rsid w:val="117143B2"/>
    <w:rsid w:val="117F6ACF"/>
    <w:rsid w:val="11845E93"/>
    <w:rsid w:val="118C11EC"/>
    <w:rsid w:val="118C2F9A"/>
    <w:rsid w:val="118C4D48"/>
    <w:rsid w:val="118E0AC0"/>
    <w:rsid w:val="11965BC6"/>
    <w:rsid w:val="11991213"/>
    <w:rsid w:val="119F0F1F"/>
    <w:rsid w:val="11A622AD"/>
    <w:rsid w:val="11AC0F46"/>
    <w:rsid w:val="11AD52FB"/>
    <w:rsid w:val="11B76268"/>
    <w:rsid w:val="11B83D8F"/>
    <w:rsid w:val="11BA18B5"/>
    <w:rsid w:val="11BB554E"/>
    <w:rsid w:val="11C049F1"/>
    <w:rsid w:val="11C41133"/>
    <w:rsid w:val="11D02E86"/>
    <w:rsid w:val="11D5049D"/>
    <w:rsid w:val="11DF131B"/>
    <w:rsid w:val="11E06E41"/>
    <w:rsid w:val="11E626AA"/>
    <w:rsid w:val="11EA1373"/>
    <w:rsid w:val="11EC3A38"/>
    <w:rsid w:val="11F272A1"/>
    <w:rsid w:val="11F33019"/>
    <w:rsid w:val="11F34DC7"/>
    <w:rsid w:val="11FC3C7B"/>
    <w:rsid w:val="11FF376C"/>
    <w:rsid w:val="1202325C"/>
    <w:rsid w:val="120B0362"/>
    <w:rsid w:val="120C4A29"/>
    <w:rsid w:val="120E1C01"/>
    <w:rsid w:val="120E7E53"/>
    <w:rsid w:val="121B5010"/>
    <w:rsid w:val="121C431D"/>
    <w:rsid w:val="121F796A"/>
    <w:rsid w:val="12211934"/>
    <w:rsid w:val="12217B86"/>
    <w:rsid w:val="122A4C8C"/>
    <w:rsid w:val="122D652B"/>
    <w:rsid w:val="12303925"/>
    <w:rsid w:val="12415B32"/>
    <w:rsid w:val="1246139A"/>
    <w:rsid w:val="124D44D7"/>
    <w:rsid w:val="12505D75"/>
    <w:rsid w:val="125C6E10"/>
    <w:rsid w:val="125E66E4"/>
    <w:rsid w:val="126161D4"/>
    <w:rsid w:val="12631F4C"/>
    <w:rsid w:val="126657EA"/>
    <w:rsid w:val="126856EB"/>
    <w:rsid w:val="12687563"/>
    <w:rsid w:val="12695089"/>
    <w:rsid w:val="126E269F"/>
    <w:rsid w:val="12713ECB"/>
    <w:rsid w:val="127C6B6A"/>
    <w:rsid w:val="12802AFE"/>
    <w:rsid w:val="128E36E6"/>
    <w:rsid w:val="12922832"/>
    <w:rsid w:val="1299771C"/>
    <w:rsid w:val="12A06CFD"/>
    <w:rsid w:val="12A10CC7"/>
    <w:rsid w:val="12AF5192"/>
    <w:rsid w:val="12B509B0"/>
    <w:rsid w:val="12B72298"/>
    <w:rsid w:val="12BC340B"/>
    <w:rsid w:val="12CC5D44"/>
    <w:rsid w:val="12D270C2"/>
    <w:rsid w:val="12D9220E"/>
    <w:rsid w:val="12EB3CF0"/>
    <w:rsid w:val="12EC0194"/>
    <w:rsid w:val="12EF3257"/>
    <w:rsid w:val="12F26B7A"/>
    <w:rsid w:val="12F64B6E"/>
    <w:rsid w:val="12F6698B"/>
    <w:rsid w:val="1300779B"/>
    <w:rsid w:val="13023513"/>
    <w:rsid w:val="130354DD"/>
    <w:rsid w:val="13085987"/>
    <w:rsid w:val="13117BFA"/>
    <w:rsid w:val="131B6383"/>
    <w:rsid w:val="13255454"/>
    <w:rsid w:val="13257202"/>
    <w:rsid w:val="1326741B"/>
    <w:rsid w:val="132F1E2E"/>
    <w:rsid w:val="133236CD"/>
    <w:rsid w:val="133631BD"/>
    <w:rsid w:val="134415A7"/>
    <w:rsid w:val="13441D7E"/>
    <w:rsid w:val="134A6C68"/>
    <w:rsid w:val="13517FF7"/>
    <w:rsid w:val="13545D39"/>
    <w:rsid w:val="13547AE7"/>
    <w:rsid w:val="1355733F"/>
    <w:rsid w:val="135D2E40"/>
    <w:rsid w:val="13712447"/>
    <w:rsid w:val="13743CE5"/>
    <w:rsid w:val="13785584"/>
    <w:rsid w:val="13844048"/>
    <w:rsid w:val="138A52B7"/>
    <w:rsid w:val="138B678E"/>
    <w:rsid w:val="138C102F"/>
    <w:rsid w:val="138E4DA7"/>
    <w:rsid w:val="138F0B1F"/>
    <w:rsid w:val="139323BD"/>
    <w:rsid w:val="13951682"/>
    <w:rsid w:val="13A02D2C"/>
    <w:rsid w:val="13A333D3"/>
    <w:rsid w:val="13A740BB"/>
    <w:rsid w:val="13A82FDE"/>
    <w:rsid w:val="13A91BE1"/>
    <w:rsid w:val="13AC16D1"/>
    <w:rsid w:val="13B32A60"/>
    <w:rsid w:val="13B80076"/>
    <w:rsid w:val="13BD38DE"/>
    <w:rsid w:val="13C44C6D"/>
    <w:rsid w:val="13C46A1B"/>
    <w:rsid w:val="13CB014F"/>
    <w:rsid w:val="13CF5149"/>
    <w:rsid w:val="13D03611"/>
    <w:rsid w:val="13D7548D"/>
    <w:rsid w:val="13D80718"/>
    <w:rsid w:val="13DA7FEC"/>
    <w:rsid w:val="13DD188A"/>
    <w:rsid w:val="13E7095B"/>
    <w:rsid w:val="13EB3FA7"/>
    <w:rsid w:val="13EE5846"/>
    <w:rsid w:val="13FC1602"/>
    <w:rsid w:val="14076D34"/>
    <w:rsid w:val="140C03C2"/>
    <w:rsid w:val="141041F3"/>
    <w:rsid w:val="14123C2A"/>
    <w:rsid w:val="14157276"/>
    <w:rsid w:val="14180B15"/>
    <w:rsid w:val="141F6347"/>
    <w:rsid w:val="14276FAA"/>
    <w:rsid w:val="14290F74"/>
    <w:rsid w:val="142C6E36"/>
    <w:rsid w:val="14327E28"/>
    <w:rsid w:val="143A3753"/>
    <w:rsid w:val="143A4F2F"/>
    <w:rsid w:val="143A6CDD"/>
    <w:rsid w:val="145A2EDB"/>
    <w:rsid w:val="145B2767"/>
    <w:rsid w:val="145C6C53"/>
    <w:rsid w:val="1468595A"/>
    <w:rsid w:val="14691370"/>
    <w:rsid w:val="146B50E8"/>
    <w:rsid w:val="147246C9"/>
    <w:rsid w:val="147C10A3"/>
    <w:rsid w:val="147F6DE6"/>
    <w:rsid w:val="14812B5E"/>
    <w:rsid w:val="148F7029"/>
    <w:rsid w:val="14942891"/>
    <w:rsid w:val="149C7998"/>
    <w:rsid w:val="14A30D26"/>
    <w:rsid w:val="14A32AD4"/>
    <w:rsid w:val="14A625C4"/>
    <w:rsid w:val="14A8633C"/>
    <w:rsid w:val="14A95C11"/>
    <w:rsid w:val="14AD3953"/>
    <w:rsid w:val="14AD74AF"/>
    <w:rsid w:val="14B041E9"/>
    <w:rsid w:val="14BE025F"/>
    <w:rsid w:val="14BF5434"/>
    <w:rsid w:val="14C842E9"/>
    <w:rsid w:val="14D233B9"/>
    <w:rsid w:val="14D709D0"/>
    <w:rsid w:val="14D968C1"/>
    <w:rsid w:val="14DB04C0"/>
    <w:rsid w:val="14DB1BE2"/>
    <w:rsid w:val="14DD31C7"/>
    <w:rsid w:val="14E153AA"/>
    <w:rsid w:val="14EC716D"/>
    <w:rsid w:val="14F450DE"/>
    <w:rsid w:val="14F50E56"/>
    <w:rsid w:val="14F81D1E"/>
    <w:rsid w:val="14FC3F92"/>
    <w:rsid w:val="15033573"/>
    <w:rsid w:val="15111718"/>
    <w:rsid w:val="151614F8"/>
    <w:rsid w:val="15173B4E"/>
    <w:rsid w:val="151B08BC"/>
    <w:rsid w:val="151D4DBB"/>
    <w:rsid w:val="151E03AD"/>
    <w:rsid w:val="152139F9"/>
    <w:rsid w:val="15227E9D"/>
    <w:rsid w:val="15237771"/>
    <w:rsid w:val="1534372C"/>
    <w:rsid w:val="15345F90"/>
    <w:rsid w:val="15431BC1"/>
    <w:rsid w:val="15453B8B"/>
    <w:rsid w:val="15475B55"/>
    <w:rsid w:val="155C2C83"/>
    <w:rsid w:val="155E69FB"/>
    <w:rsid w:val="156308F7"/>
    <w:rsid w:val="156404B5"/>
    <w:rsid w:val="15690FD1"/>
    <w:rsid w:val="156A53A0"/>
    <w:rsid w:val="156F29B6"/>
    <w:rsid w:val="15714980"/>
    <w:rsid w:val="15735CFA"/>
    <w:rsid w:val="15791A87"/>
    <w:rsid w:val="157E709D"/>
    <w:rsid w:val="15883A78"/>
    <w:rsid w:val="158F12AA"/>
    <w:rsid w:val="159266A5"/>
    <w:rsid w:val="159643E7"/>
    <w:rsid w:val="159C3D02"/>
    <w:rsid w:val="15A65E32"/>
    <w:rsid w:val="15B91E83"/>
    <w:rsid w:val="15BD7BC5"/>
    <w:rsid w:val="15BF393E"/>
    <w:rsid w:val="15C471A6"/>
    <w:rsid w:val="15CA22E3"/>
    <w:rsid w:val="15CC7E09"/>
    <w:rsid w:val="15D3486C"/>
    <w:rsid w:val="15DB6B4C"/>
    <w:rsid w:val="15DD5B72"/>
    <w:rsid w:val="15E05662"/>
    <w:rsid w:val="15E46F00"/>
    <w:rsid w:val="15E769F0"/>
    <w:rsid w:val="15E9057E"/>
    <w:rsid w:val="15E909BB"/>
    <w:rsid w:val="15E96C0C"/>
    <w:rsid w:val="15EE4223"/>
    <w:rsid w:val="15F21A34"/>
    <w:rsid w:val="15F6718A"/>
    <w:rsid w:val="15FC6940"/>
    <w:rsid w:val="15FF53A7"/>
    <w:rsid w:val="16013F56"/>
    <w:rsid w:val="16021A7C"/>
    <w:rsid w:val="1602382A"/>
    <w:rsid w:val="16027CCE"/>
    <w:rsid w:val="16041350"/>
    <w:rsid w:val="160E6673"/>
    <w:rsid w:val="16161084"/>
    <w:rsid w:val="16247C45"/>
    <w:rsid w:val="16294BEA"/>
    <w:rsid w:val="162C3034"/>
    <w:rsid w:val="162D4D4B"/>
    <w:rsid w:val="16314110"/>
    <w:rsid w:val="163C6D3C"/>
    <w:rsid w:val="164107F7"/>
    <w:rsid w:val="16477D3C"/>
    <w:rsid w:val="164B6299"/>
    <w:rsid w:val="164D719B"/>
    <w:rsid w:val="16526560"/>
    <w:rsid w:val="1658169C"/>
    <w:rsid w:val="16646293"/>
    <w:rsid w:val="1673044B"/>
    <w:rsid w:val="16783AEC"/>
    <w:rsid w:val="167C3A92"/>
    <w:rsid w:val="168A6445"/>
    <w:rsid w:val="168D3A3C"/>
    <w:rsid w:val="16930926"/>
    <w:rsid w:val="169A3A63"/>
    <w:rsid w:val="169F1079"/>
    <w:rsid w:val="16A23F2F"/>
    <w:rsid w:val="16AB3EC2"/>
    <w:rsid w:val="16B9038D"/>
    <w:rsid w:val="16CA6849"/>
    <w:rsid w:val="16D01B7A"/>
    <w:rsid w:val="16E15073"/>
    <w:rsid w:val="16E3365C"/>
    <w:rsid w:val="16E75D71"/>
    <w:rsid w:val="16E80C72"/>
    <w:rsid w:val="16E82A20"/>
    <w:rsid w:val="16EF2001"/>
    <w:rsid w:val="16F00D22"/>
    <w:rsid w:val="16F2389F"/>
    <w:rsid w:val="16F94C2D"/>
    <w:rsid w:val="16FB5132"/>
    <w:rsid w:val="16FE3AF5"/>
    <w:rsid w:val="17005FBC"/>
    <w:rsid w:val="1703785A"/>
    <w:rsid w:val="170B2605"/>
    <w:rsid w:val="17232982"/>
    <w:rsid w:val="172872C1"/>
    <w:rsid w:val="172A4DE7"/>
    <w:rsid w:val="172F6458"/>
    <w:rsid w:val="17400AAE"/>
    <w:rsid w:val="17516817"/>
    <w:rsid w:val="175400B6"/>
    <w:rsid w:val="17680005"/>
    <w:rsid w:val="177541C5"/>
    <w:rsid w:val="1776627E"/>
    <w:rsid w:val="17852965"/>
    <w:rsid w:val="178564C1"/>
    <w:rsid w:val="178C2403"/>
    <w:rsid w:val="178D35C8"/>
    <w:rsid w:val="179611D1"/>
    <w:rsid w:val="17981ECF"/>
    <w:rsid w:val="179B3F36"/>
    <w:rsid w:val="17AE508E"/>
    <w:rsid w:val="17B172B6"/>
    <w:rsid w:val="17B17B14"/>
    <w:rsid w:val="17B80644"/>
    <w:rsid w:val="17C50FB3"/>
    <w:rsid w:val="17C70888"/>
    <w:rsid w:val="17D411F6"/>
    <w:rsid w:val="17E5477C"/>
    <w:rsid w:val="17EC289C"/>
    <w:rsid w:val="17F35B20"/>
    <w:rsid w:val="17F43647"/>
    <w:rsid w:val="17F81389"/>
    <w:rsid w:val="17FA35AE"/>
    <w:rsid w:val="17FB2C27"/>
    <w:rsid w:val="17FF2717"/>
    <w:rsid w:val="17FF44C5"/>
    <w:rsid w:val="18047D2E"/>
    <w:rsid w:val="18075C98"/>
    <w:rsid w:val="181066D2"/>
    <w:rsid w:val="1811244B"/>
    <w:rsid w:val="181810E3"/>
    <w:rsid w:val="181D494B"/>
    <w:rsid w:val="18262ACB"/>
    <w:rsid w:val="182C2DE0"/>
    <w:rsid w:val="18335F1D"/>
    <w:rsid w:val="18356139"/>
    <w:rsid w:val="183776E7"/>
    <w:rsid w:val="183879D7"/>
    <w:rsid w:val="184F0522"/>
    <w:rsid w:val="18512847"/>
    <w:rsid w:val="185365BF"/>
    <w:rsid w:val="185540E5"/>
    <w:rsid w:val="18567E5D"/>
    <w:rsid w:val="185B5474"/>
    <w:rsid w:val="185F2D2B"/>
    <w:rsid w:val="18607150"/>
    <w:rsid w:val="18641B32"/>
    <w:rsid w:val="18714C97"/>
    <w:rsid w:val="18784BF7"/>
    <w:rsid w:val="18787AF2"/>
    <w:rsid w:val="187C2382"/>
    <w:rsid w:val="188B3FAB"/>
    <w:rsid w:val="18972950"/>
    <w:rsid w:val="18A312F5"/>
    <w:rsid w:val="18A961DF"/>
    <w:rsid w:val="18A96DD5"/>
    <w:rsid w:val="18AD3F21"/>
    <w:rsid w:val="18B84674"/>
    <w:rsid w:val="18BD7EDC"/>
    <w:rsid w:val="18C15C1F"/>
    <w:rsid w:val="18C37DF9"/>
    <w:rsid w:val="18C64FE3"/>
    <w:rsid w:val="18CE5C46"/>
    <w:rsid w:val="18D86AC4"/>
    <w:rsid w:val="18DC65B5"/>
    <w:rsid w:val="18E436BB"/>
    <w:rsid w:val="18E45469"/>
    <w:rsid w:val="18EA6F23"/>
    <w:rsid w:val="18F56F41"/>
    <w:rsid w:val="18F7519C"/>
    <w:rsid w:val="18F90F15"/>
    <w:rsid w:val="18FC6C57"/>
    <w:rsid w:val="19031D93"/>
    <w:rsid w:val="19173B61"/>
    <w:rsid w:val="1921046B"/>
    <w:rsid w:val="192817FA"/>
    <w:rsid w:val="192D5062"/>
    <w:rsid w:val="1931131D"/>
    <w:rsid w:val="193E101D"/>
    <w:rsid w:val="194303E2"/>
    <w:rsid w:val="19483C4A"/>
    <w:rsid w:val="194859F8"/>
    <w:rsid w:val="195E521C"/>
    <w:rsid w:val="19632DB3"/>
    <w:rsid w:val="196D36B1"/>
    <w:rsid w:val="19791076"/>
    <w:rsid w:val="197E58BE"/>
    <w:rsid w:val="19813D0A"/>
    <w:rsid w:val="198253AE"/>
    <w:rsid w:val="1990114D"/>
    <w:rsid w:val="19962C07"/>
    <w:rsid w:val="199724DC"/>
    <w:rsid w:val="19A223C6"/>
    <w:rsid w:val="19A277FE"/>
    <w:rsid w:val="19B25567"/>
    <w:rsid w:val="19C07C84"/>
    <w:rsid w:val="19C72DC1"/>
    <w:rsid w:val="19C75983"/>
    <w:rsid w:val="19DD25E4"/>
    <w:rsid w:val="19DE3064"/>
    <w:rsid w:val="19EC0A79"/>
    <w:rsid w:val="19ED516D"/>
    <w:rsid w:val="19F142E2"/>
    <w:rsid w:val="19F94F44"/>
    <w:rsid w:val="19FD2C86"/>
    <w:rsid w:val="19FE255B"/>
    <w:rsid w:val="1A003428"/>
    <w:rsid w:val="1A073B05"/>
    <w:rsid w:val="1A0C2EC9"/>
    <w:rsid w:val="1A0C4C78"/>
    <w:rsid w:val="1A231FC1"/>
    <w:rsid w:val="1A27385F"/>
    <w:rsid w:val="1A2A15A2"/>
    <w:rsid w:val="1A2A3350"/>
    <w:rsid w:val="1A330456"/>
    <w:rsid w:val="1A442663"/>
    <w:rsid w:val="1A5328A6"/>
    <w:rsid w:val="1A543F74"/>
    <w:rsid w:val="1A55661F"/>
    <w:rsid w:val="1A5C6160"/>
    <w:rsid w:val="1A5D3725"/>
    <w:rsid w:val="1A613215"/>
    <w:rsid w:val="1A61351B"/>
    <w:rsid w:val="1A6159DA"/>
    <w:rsid w:val="1A642D06"/>
    <w:rsid w:val="1A6607F6"/>
    <w:rsid w:val="1A6E5932"/>
    <w:rsid w:val="1A746F49"/>
    <w:rsid w:val="1A7867B1"/>
    <w:rsid w:val="1A7A42D7"/>
    <w:rsid w:val="1A7B1DFD"/>
    <w:rsid w:val="1A824F3A"/>
    <w:rsid w:val="1A976C37"/>
    <w:rsid w:val="1A9D1D74"/>
    <w:rsid w:val="1A9F3D3E"/>
    <w:rsid w:val="1AAC1FB7"/>
    <w:rsid w:val="1AB01AA7"/>
    <w:rsid w:val="1AB647DB"/>
    <w:rsid w:val="1AB71087"/>
    <w:rsid w:val="1ABA2925"/>
    <w:rsid w:val="1ABA46D4"/>
    <w:rsid w:val="1ABC044C"/>
    <w:rsid w:val="1ABD5F72"/>
    <w:rsid w:val="1AC13CB4"/>
    <w:rsid w:val="1AC15A62"/>
    <w:rsid w:val="1ACD2659"/>
    <w:rsid w:val="1AD02149"/>
    <w:rsid w:val="1AD25EC1"/>
    <w:rsid w:val="1ADA2FC8"/>
    <w:rsid w:val="1ADD7977"/>
    <w:rsid w:val="1ADE4866"/>
    <w:rsid w:val="1ADE683C"/>
    <w:rsid w:val="1AE6371B"/>
    <w:rsid w:val="1AEC6857"/>
    <w:rsid w:val="1AFA71C6"/>
    <w:rsid w:val="1AFC1190"/>
    <w:rsid w:val="1AFD0A64"/>
    <w:rsid w:val="1AFE6C35"/>
    <w:rsid w:val="1AFE6CB6"/>
    <w:rsid w:val="1B024E21"/>
    <w:rsid w:val="1B040045"/>
    <w:rsid w:val="1B040F84"/>
    <w:rsid w:val="1B087B35"/>
    <w:rsid w:val="1B0E4A1F"/>
    <w:rsid w:val="1B155DAE"/>
    <w:rsid w:val="1B163BF7"/>
    <w:rsid w:val="1B19589E"/>
    <w:rsid w:val="1B1D4C62"/>
    <w:rsid w:val="1B2F50C2"/>
    <w:rsid w:val="1B300E3A"/>
    <w:rsid w:val="1B312EE4"/>
    <w:rsid w:val="1B3274A2"/>
    <w:rsid w:val="1B410951"/>
    <w:rsid w:val="1B453FC5"/>
    <w:rsid w:val="1B4548E5"/>
    <w:rsid w:val="1B46240B"/>
    <w:rsid w:val="1B4874CE"/>
    <w:rsid w:val="1B4935EF"/>
    <w:rsid w:val="1B520DB0"/>
    <w:rsid w:val="1B5E7755"/>
    <w:rsid w:val="1B610FF3"/>
    <w:rsid w:val="1B6B1E72"/>
    <w:rsid w:val="1B6D7998"/>
    <w:rsid w:val="1B742AD4"/>
    <w:rsid w:val="1B75684C"/>
    <w:rsid w:val="1B762CF0"/>
    <w:rsid w:val="1B775612"/>
    <w:rsid w:val="1B830F69"/>
    <w:rsid w:val="1B8D1DE8"/>
    <w:rsid w:val="1B8D3B96"/>
    <w:rsid w:val="1B935EEA"/>
    <w:rsid w:val="1B965141"/>
    <w:rsid w:val="1B974A15"/>
    <w:rsid w:val="1B9D24C1"/>
    <w:rsid w:val="1B9E3FF5"/>
    <w:rsid w:val="1BAF1D5E"/>
    <w:rsid w:val="1BBA7DEC"/>
    <w:rsid w:val="1BBE01F3"/>
    <w:rsid w:val="1BC3580A"/>
    <w:rsid w:val="1BC51582"/>
    <w:rsid w:val="1BC53038"/>
    <w:rsid w:val="1BC752FA"/>
    <w:rsid w:val="1BC81072"/>
    <w:rsid w:val="1BC872C4"/>
    <w:rsid w:val="1BCA6B98"/>
    <w:rsid w:val="1BCD48DA"/>
    <w:rsid w:val="1BCF41AF"/>
    <w:rsid w:val="1BD01CD5"/>
    <w:rsid w:val="1BD6378F"/>
    <w:rsid w:val="1BD73063"/>
    <w:rsid w:val="1BDE0896"/>
    <w:rsid w:val="1BE0016A"/>
    <w:rsid w:val="1BED2887"/>
    <w:rsid w:val="1BF27E9D"/>
    <w:rsid w:val="1C006A5E"/>
    <w:rsid w:val="1C1147C7"/>
    <w:rsid w:val="1C1442B7"/>
    <w:rsid w:val="1C17253E"/>
    <w:rsid w:val="1C19367C"/>
    <w:rsid w:val="1C1B5646"/>
    <w:rsid w:val="1C1C4F1A"/>
    <w:rsid w:val="1C1D13BE"/>
    <w:rsid w:val="1C2564C4"/>
    <w:rsid w:val="1C295FB5"/>
    <w:rsid w:val="1C2A7637"/>
    <w:rsid w:val="1C2F4C4D"/>
    <w:rsid w:val="1C3404B6"/>
    <w:rsid w:val="1C36422E"/>
    <w:rsid w:val="1C381D54"/>
    <w:rsid w:val="1C395ACC"/>
    <w:rsid w:val="1C4050AC"/>
    <w:rsid w:val="1C44694B"/>
    <w:rsid w:val="1C47468D"/>
    <w:rsid w:val="1C485D0F"/>
    <w:rsid w:val="1C5D5C5E"/>
    <w:rsid w:val="1C5D7A0C"/>
    <w:rsid w:val="1C632B49"/>
    <w:rsid w:val="1C694603"/>
    <w:rsid w:val="1C6A3ED7"/>
    <w:rsid w:val="1C705992"/>
    <w:rsid w:val="1C71170A"/>
    <w:rsid w:val="1C735482"/>
    <w:rsid w:val="1C737230"/>
    <w:rsid w:val="1C77510D"/>
    <w:rsid w:val="1C7865F4"/>
    <w:rsid w:val="1C7C39BC"/>
    <w:rsid w:val="1C7D00AF"/>
    <w:rsid w:val="1C7E45DE"/>
    <w:rsid w:val="1C817B9F"/>
    <w:rsid w:val="1C827473"/>
    <w:rsid w:val="1C8B457A"/>
    <w:rsid w:val="1C8C20A0"/>
    <w:rsid w:val="1C944F1A"/>
    <w:rsid w:val="1CA20005"/>
    <w:rsid w:val="1CA70C88"/>
    <w:rsid w:val="1CAE2016"/>
    <w:rsid w:val="1CAF1706"/>
    <w:rsid w:val="1CB258A2"/>
    <w:rsid w:val="1CB25FAA"/>
    <w:rsid w:val="1CB9287D"/>
    <w:rsid w:val="1CBF4223"/>
    <w:rsid w:val="1CC01D49"/>
    <w:rsid w:val="1CC25AC1"/>
    <w:rsid w:val="1CC31C6D"/>
    <w:rsid w:val="1CC47A8B"/>
    <w:rsid w:val="1CDD798B"/>
    <w:rsid w:val="1CED6FE2"/>
    <w:rsid w:val="1CF93403"/>
    <w:rsid w:val="1CFC0FD3"/>
    <w:rsid w:val="1CFC5477"/>
    <w:rsid w:val="1D0205B4"/>
    <w:rsid w:val="1D077978"/>
    <w:rsid w:val="1D0D31E0"/>
    <w:rsid w:val="1D1A58FD"/>
    <w:rsid w:val="1D1C1676"/>
    <w:rsid w:val="1D2235AB"/>
    <w:rsid w:val="1D28626C"/>
    <w:rsid w:val="1D291FA4"/>
    <w:rsid w:val="1D293D92"/>
    <w:rsid w:val="1D3833BB"/>
    <w:rsid w:val="1D3D339A"/>
    <w:rsid w:val="1D3F5364"/>
    <w:rsid w:val="1D3F7112"/>
    <w:rsid w:val="1D412E8A"/>
    <w:rsid w:val="1D413FA7"/>
    <w:rsid w:val="1D4209B0"/>
    <w:rsid w:val="1D464944"/>
    <w:rsid w:val="1D4B1F5B"/>
    <w:rsid w:val="1D4D7A81"/>
    <w:rsid w:val="1D5254E7"/>
    <w:rsid w:val="1D5A03F0"/>
    <w:rsid w:val="1D5C1A72"/>
    <w:rsid w:val="1D6372A4"/>
    <w:rsid w:val="1D686669"/>
    <w:rsid w:val="1D6D3C7F"/>
    <w:rsid w:val="1D6E79F7"/>
    <w:rsid w:val="1D7019C1"/>
    <w:rsid w:val="1D76522A"/>
    <w:rsid w:val="1D7B2840"/>
    <w:rsid w:val="1D7C0366"/>
    <w:rsid w:val="1D8334A3"/>
    <w:rsid w:val="1D953604"/>
    <w:rsid w:val="1D9E208B"/>
    <w:rsid w:val="1DA33B45"/>
    <w:rsid w:val="1DB4543D"/>
    <w:rsid w:val="1DBB0E8E"/>
    <w:rsid w:val="1DC15D79"/>
    <w:rsid w:val="1DCD0BC2"/>
    <w:rsid w:val="1DCF493A"/>
    <w:rsid w:val="1DD61D86"/>
    <w:rsid w:val="1DD957B9"/>
    <w:rsid w:val="1DD97567"/>
    <w:rsid w:val="1DDC0E05"/>
    <w:rsid w:val="1DE00B31"/>
    <w:rsid w:val="1DE06B47"/>
    <w:rsid w:val="1DE33F41"/>
    <w:rsid w:val="1DE57CB9"/>
    <w:rsid w:val="1DEF0B38"/>
    <w:rsid w:val="1DF47EFC"/>
    <w:rsid w:val="1E04383E"/>
    <w:rsid w:val="1E0F2F88"/>
    <w:rsid w:val="1E0F7729"/>
    <w:rsid w:val="1E206F43"/>
    <w:rsid w:val="1E2F53D8"/>
    <w:rsid w:val="1E360515"/>
    <w:rsid w:val="1E366767"/>
    <w:rsid w:val="1E3B02C6"/>
    <w:rsid w:val="1E42510C"/>
    <w:rsid w:val="1E432B63"/>
    <w:rsid w:val="1E4A2212"/>
    <w:rsid w:val="1E4F15D7"/>
    <w:rsid w:val="1E4F7829"/>
    <w:rsid w:val="1E562965"/>
    <w:rsid w:val="1E594203"/>
    <w:rsid w:val="1E6432D4"/>
    <w:rsid w:val="1E676920"/>
    <w:rsid w:val="1E6E4D6B"/>
    <w:rsid w:val="1E71154D"/>
    <w:rsid w:val="1E744F9C"/>
    <w:rsid w:val="1E7456E8"/>
    <w:rsid w:val="1E74728F"/>
    <w:rsid w:val="1E786747"/>
    <w:rsid w:val="1E7E7ED1"/>
    <w:rsid w:val="1E827BFE"/>
    <w:rsid w:val="1E85149C"/>
    <w:rsid w:val="1E937715"/>
    <w:rsid w:val="1E9F430C"/>
    <w:rsid w:val="1EAF2075"/>
    <w:rsid w:val="1EB1403F"/>
    <w:rsid w:val="1EBB0A1A"/>
    <w:rsid w:val="1EC04283"/>
    <w:rsid w:val="1EC21DA9"/>
    <w:rsid w:val="1ECC0E79"/>
    <w:rsid w:val="1ECD34E0"/>
    <w:rsid w:val="1ECE322F"/>
    <w:rsid w:val="1ED312B9"/>
    <w:rsid w:val="1ED32208"/>
    <w:rsid w:val="1ED55F80"/>
    <w:rsid w:val="1EE35FF3"/>
    <w:rsid w:val="1EE61F3B"/>
    <w:rsid w:val="1EEE0DF0"/>
    <w:rsid w:val="1EF26DB4"/>
    <w:rsid w:val="1EFA7794"/>
    <w:rsid w:val="1EFB52BB"/>
    <w:rsid w:val="1F016D75"/>
    <w:rsid w:val="1F0625DD"/>
    <w:rsid w:val="1F074B01"/>
    <w:rsid w:val="1F0D396C"/>
    <w:rsid w:val="1F132604"/>
    <w:rsid w:val="1F1D3483"/>
    <w:rsid w:val="1F216B38"/>
    <w:rsid w:val="1F264A2D"/>
    <w:rsid w:val="1F2B2044"/>
    <w:rsid w:val="1F2C4F8B"/>
    <w:rsid w:val="1F2E38E2"/>
    <w:rsid w:val="1F3A5DE3"/>
    <w:rsid w:val="1F3D3B25"/>
    <w:rsid w:val="1F486752"/>
    <w:rsid w:val="1F4B7FF0"/>
    <w:rsid w:val="1F505606"/>
    <w:rsid w:val="1F524923"/>
    <w:rsid w:val="1F534A87"/>
    <w:rsid w:val="1F5844BB"/>
    <w:rsid w:val="1F5C044F"/>
    <w:rsid w:val="1F700329"/>
    <w:rsid w:val="1F751511"/>
    <w:rsid w:val="1F78690B"/>
    <w:rsid w:val="1F7E2174"/>
    <w:rsid w:val="1F7E6617"/>
    <w:rsid w:val="1F8F4381"/>
    <w:rsid w:val="1F960AD7"/>
    <w:rsid w:val="1F9A2D26"/>
    <w:rsid w:val="1F9C084C"/>
    <w:rsid w:val="1FA12306"/>
    <w:rsid w:val="1FA13316"/>
    <w:rsid w:val="1FA63478"/>
    <w:rsid w:val="1FA6791C"/>
    <w:rsid w:val="1FA85442"/>
    <w:rsid w:val="1FB16A7B"/>
    <w:rsid w:val="1FB2006F"/>
    <w:rsid w:val="1FB738D7"/>
    <w:rsid w:val="1FB77434"/>
    <w:rsid w:val="1FBD2DED"/>
    <w:rsid w:val="1FC57DA2"/>
    <w:rsid w:val="1FC81641"/>
    <w:rsid w:val="1FD3171B"/>
    <w:rsid w:val="1FDB75C6"/>
    <w:rsid w:val="1FE50445"/>
    <w:rsid w:val="1FE67D19"/>
    <w:rsid w:val="1FEA5A5B"/>
    <w:rsid w:val="1FED72F9"/>
    <w:rsid w:val="1FF93EF0"/>
    <w:rsid w:val="1FFB7497"/>
    <w:rsid w:val="200E3C8D"/>
    <w:rsid w:val="20176124"/>
    <w:rsid w:val="201B3E66"/>
    <w:rsid w:val="2020322B"/>
    <w:rsid w:val="202076CF"/>
    <w:rsid w:val="2027280B"/>
    <w:rsid w:val="20292166"/>
    <w:rsid w:val="202D76F6"/>
    <w:rsid w:val="2031401A"/>
    <w:rsid w:val="20315438"/>
    <w:rsid w:val="2040567B"/>
    <w:rsid w:val="204A474C"/>
    <w:rsid w:val="20564E9E"/>
    <w:rsid w:val="205E01F7"/>
    <w:rsid w:val="20623843"/>
    <w:rsid w:val="20684BD2"/>
    <w:rsid w:val="206A26F8"/>
    <w:rsid w:val="206D3FCE"/>
    <w:rsid w:val="20747224"/>
    <w:rsid w:val="20776154"/>
    <w:rsid w:val="207B2B57"/>
    <w:rsid w:val="207F2647"/>
    <w:rsid w:val="20857532"/>
    <w:rsid w:val="209634ED"/>
    <w:rsid w:val="209F6845"/>
    <w:rsid w:val="20A774A8"/>
    <w:rsid w:val="20A86C2C"/>
    <w:rsid w:val="20AA343C"/>
    <w:rsid w:val="20B6593D"/>
    <w:rsid w:val="20BB11A5"/>
    <w:rsid w:val="20BF0C96"/>
    <w:rsid w:val="20BF6B8A"/>
    <w:rsid w:val="20C0056A"/>
    <w:rsid w:val="20C20786"/>
    <w:rsid w:val="20C91B14"/>
    <w:rsid w:val="20CA3197"/>
    <w:rsid w:val="20CA37A7"/>
    <w:rsid w:val="20D3029D"/>
    <w:rsid w:val="20D52267"/>
    <w:rsid w:val="20D83B05"/>
    <w:rsid w:val="20DA5ACF"/>
    <w:rsid w:val="20DB35F6"/>
    <w:rsid w:val="20DF30E6"/>
    <w:rsid w:val="20E029BA"/>
    <w:rsid w:val="20E174F0"/>
    <w:rsid w:val="20E57FD0"/>
    <w:rsid w:val="20EA3839"/>
    <w:rsid w:val="20EA55E7"/>
    <w:rsid w:val="20FA7F20"/>
    <w:rsid w:val="210448FA"/>
    <w:rsid w:val="210C37AF"/>
    <w:rsid w:val="210E0CE0"/>
    <w:rsid w:val="210E39CB"/>
    <w:rsid w:val="211F34E2"/>
    <w:rsid w:val="212F20CD"/>
    <w:rsid w:val="21354AB4"/>
    <w:rsid w:val="21374CD0"/>
    <w:rsid w:val="213845A4"/>
    <w:rsid w:val="214271D1"/>
    <w:rsid w:val="214B077B"/>
    <w:rsid w:val="214C004F"/>
    <w:rsid w:val="215869F4"/>
    <w:rsid w:val="215D225D"/>
    <w:rsid w:val="215D3A7F"/>
    <w:rsid w:val="216B6728"/>
    <w:rsid w:val="216C24A0"/>
    <w:rsid w:val="217001E2"/>
    <w:rsid w:val="21714B15"/>
    <w:rsid w:val="2173382E"/>
    <w:rsid w:val="217A2E0F"/>
    <w:rsid w:val="217E132B"/>
    <w:rsid w:val="218A4F35"/>
    <w:rsid w:val="218D00B7"/>
    <w:rsid w:val="219519F6"/>
    <w:rsid w:val="219750A0"/>
    <w:rsid w:val="219C0FD7"/>
    <w:rsid w:val="21AA0DD1"/>
    <w:rsid w:val="21B10818"/>
    <w:rsid w:val="21B27E35"/>
    <w:rsid w:val="21B856E5"/>
    <w:rsid w:val="21B87493"/>
    <w:rsid w:val="21BA76AF"/>
    <w:rsid w:val="21C61BB0"/>
    <w:rsid w:val="21CD73E2"/>
    <w:rsid w:val="21CF4F08"/>
    <w:rsid w:val="21D00C81"/>
    <w:rsid w:val="21D544E9"/>
    <w:rsid w:val="21D70261"/>
    <w:rsid w:val="21DE0DD2"/>
    <w:rsid w:val="21E81B48"/>
    <w:rsid w:val="21EB6754"/>
    <w:rsid w:val="21ED538F"/>
    <w:rsid w:val="21F4496F"/>
    <w:rsid w:val="21F901D7"/>
    <w:rsid w:val="21F91F85"/>
    <w:rsid w:val="21FA5CFD"/>
    <w:rsid w:val="21FC65DF"/>
    <w:rsid w:val="21FE759C"/>
    <w:rsid w:val="22001928"/>
    <w:rsid w:val="2205092A"/>
    <w:rsid w:val="220C48E0"/>
    <w:rsid w:val="220D3C83"/>
    <w:rsid w:val="220E0C64"/>
    <w:rsid w:val="22146DBF"/>
    <w:rsid w:val="221A5500"/>
    <w:rsid w:val="221C3EC6"/>
    <w:rsid w:val="221E7C3E"/>
    <w:rsid w:val="22205764"/>
    <w:rsid w:val="222B4109"/>
    <w:rsid w:val="222C235B"/>
    <w:rsid w:val="222D1C2F"/>
    <w:rsid w:val="222F3BF9"/>
    <w:rsid w:val="224F204E"/>
    <w:rsid w:val="22592A24"/>
    <w:rsid w:val="22602004"/>
    <w:rsid w:val="2265761B"/>
    <w:rsid w:val="226903C1"/>
    <w:rsid w:val="226A2E83"/>
    <w:rsid w:val="226F0499"/>
    <w:rsid w:val="2277734E"/>
    <w:rsid w:val="227855A0"/>
    <w:rsid w:val="227B6E3E"/>
    <w:rsid w:val="22804455"/>
    <w:rsid w:val="22877591"/>
    <w:rsid w:val="22883309"/>
    <w:rsid w:val="22884214"/>
    <w:rsid w:val="228A7081"/>
    <w:rsid w:val="22916662"/>
    <w:rsid w:val="22920F81"/>
    <w:rsid w:val="22A03204"/>
    <w:rsid w:val="22AA04C8"/>
    <w:rsid w:val="22AC349C"/>
    <w:rsid w:val="22AE0FC2"/>
    <w:rsid w:val="22B91715"/>
    <w:rsid w:val="22C500B9"/>
    <w:rsid w:val="22CA56D0"/>
    <w:rsid w:val="22CC31F6"/>
    <w:rsid w:val="22D64075"/>
    <w:rsid w:val="22D93B65"/>
    <w:rsid w:val="22E744D4"/>
    <w:rsid w:val="22EC1AEA"/>
    <w:rsid w:val="22F17100"/>
    <w:rsid w:val="22F4274D"/>
    <w:rsid w:val="22F46CA6"/>
    <w:rsid w:val="23007343"/>
    <w:rsid w:val="2309269C"/>
    <w:rsid w:val="230E380E"/>
    <w:rsid w:val="231221EE"/>
    <w:rsid w:val="231921B3"/>
    <w:rsid w:val="23193D8B"/>
    <w:rsid w:val="231A6765"/>
    <w:rsid w:val="23201794"/>
    <w:rsid w:val="232C0139"/>
    <w:rsid w:val="233D2346"/>
    <w:rsid w:val="234C4337"/>
    <w:rsid w:val="234D546F"/>
    <w:rsid w:val="2355143D"/>
    <w:rsid w:val="235558E1"/>
    <w:rsid w:val="235D6544"/>
    <w:rsid w:val="235E5C65"/>
    <w:rsid w:val="23614286"/>
    <w:rsid w:val="236C7C57"/>
    <w:rsid w:val="2378512C"/>
    <w:rsid w:val="237F470C"/>
    <w:rsid w:val="238166D6"/>
    <w:rsid w:val="2383244E"/>
    <w:rsid w:val="23863CED"/>
    <w:rsid w:val="23872676"/>
    <w:rsid w:val="238C0BD7"/>
    <w:rsid w:val="238E2BA1"/>
    <w:rsid w:val="238E494F"/>
    <w:rsid w:val="23922D25"/>
    <w:rsid w:val="23943A33"/>
    <w:rsid w:val="23AE4FF1"/>
    <w:rsid w:val="23C2284B"/>
    <w:rsid w:val="23D5257E"/>
    <w:rsid w:val="23DF33FD"/>
    <w:rsid w:val="23E12CD1"/>
    <w:rsid w:val="23E35231"/>
    <w:rsid w:val="23ED1676"/>
    <w:rsid w:val="23ED5B1A"/>
    <w:rsid w:val="23FF584D"/>
    <w:rsid w:val="24042E63"/>
    <w:rsid w:val="24067F37"/>
    <w:rsid w:val="240864B0"/>
    <w:rsid w:val="24092228"/>
    <w:rsid w:val="240A66CC"/>
    <w:rsid w:val="240D1D18"/>
    <w:rsid w:val="240E783E"/>
    <w:rsid w:val="241412F8"/>
    <w:rsid w:val="24172B97"/>
    <w:rsid w:val="241906BD"/>
    <w:rsid w:val="24194B61"/>
    <w:rsid w:val="24284DA4"/>
    <w:rsid w:val="242C68E1"/>
    <w:rsid w:val="242D23BA"/>
    <w:rsid w:val="242D4168"/>
    <w:rsid w:val="24311EAA"/>
    <w:rsid w:val="243A6885"/>
    <w:rsid w:val="24523BCF"/>
    <w:rsid w:val="2452597D"/>
    <w:rsid w:val="245C4A4D"/>
    <w:rsid w:val="246456B0"/>
    <w:rsid w:val="246B4C91"/>
    <w:rsid w:val="246C2EE2"/>
    <w:rsid w:val="247022A7"/>
    <w:rsid w:val="24704055"/>
    <w:rsid w:val="2471674B"/>
    <w:rsid w:val="2472601F"/>
    <w:rsid w:val="247934AE"/>
    <w:rsid w:val="2480031B"/>
    <w:rsid w:val="248A3369"/>
    <w:rsid w:val="248F6BD1"/>
    <w:rsid w:val="24A36A13"/>
    <w:rsid w:val="24A92885"/>
    <w:rsid w:val="24B44889"/>
    <w:rsid w:val="24B959FC"/>
    <w:rsid w:val="24C0322E"/>
    <w:rsid w:val="24CA0319"/>
    <w:rsid w:val="24CB7A89"/>
    <w:rsid w:val="24CC3981"/>
    <w:rsid w:val="24CC572F"/>
    <w:rsid w:val="24CD76F9"/>
    <w:rsid w:val="24D2008D"/>
    <w:rsid w:val="24D42836"/>
    <w:rsid w:val="24E46F1D"/>
    <w:rsid w:val="24E862E1"/>
    <w:rsid w:val="24EA3E07"/>
    <w:rsid w:val="24EC5DD1"/>
    <w:rsid w:val="25072C0B"/>
    <w:rsid w:val="25082E77"/>
    <w:rsid w:val="25222A11"/>
    <w:rsid w:val="252235A1"/>
    <w:rsid w:val="252B4E6B"/>
    <w:rsid w:val="25381017"/>
    <w:rsid w:val="253A4D8F"/>
    <w:rsid w:val="25407ECB"/>
    <w:rsid w:val="254248CC"/>
    <w:rsid w:val="25522FCA"/>
    <w:rsid w:val="25540D33"/>
    <w:rsid w:val="25545725"/>
    <w:rsid w:val="25565941"/>
    <w:rsid w:val="256736AA"/>
    <w:rsid w:val="256E67E6"/>
    <w:rsid w:val="25706A02"/>
    <w:rsid w:val="25710DD0"/>
    <w:rsid w:val="2572277A"/>
    <w:rsid w:val="257638ED"/>
    <w:rsid w:val="25774AB3"/>
    <w:rsid w:val="257A162F"/>
    <w:rsid w:val="25853B30"/>
    <w:rsid w:val="25902C01"/>
    <w:rsid w:val="25981AB5"/>
    <w:rsid w:val="259A3A7F"/>
    <w:rsid w:val="259D70CC"/>
    <w:rsid w:val="25A0096A"/>
    <w:rsid w:val="25A07D6D"/>
    <w:rsid w:val="25A95A70"/>
    <w:rsid w:val="25AB3597"/>
    <w:rsid w:val="25B3069D"/>
    <w:rsid w:val="25C32FD6"/>
    <w:rsid w:val="25C7239A"/>
    <w:rsid w:val="25D0124F"/>
    <w:rsid w:val="25D7082F"/>
    <w:rsid w:val="25DC5E46"/>
    <w:rsid w:val="25DC7BF4"/>
    <w:rsid w:val="25DD571A"/>
    <w:rsid w:val="25E44CFA"/>
    <w:rsid w:val="25E82A38"/>
    <w:rsid w:val="25E90563"/>
    <w:rsid w:val="25F413E1"/>
    <w:rsid w:val="25FC2044"/>
    <w:rsid w:val="26061115"/>
    <w:rsid w:val="2615594F"/>
    <w:rsid w:val="26180344"/>
    <w:rsid w:val="261849A4"/>
    <w:rsid w:val="26211093"/>
    <w:rsid w:val="262C3CE7"/>
    <w:rsid w:val="262D66A1"/>
    <w:rsid w:val="263712CE"/>
    <w:rsid w:val="26461511"/>
    <w:rsid w:val="264779F7"/>
    <w:rsid w:val="264B2FCC"/>
    <w:rsid w:val="26551754"/>
    <w:rsid w:val="265E0AC9"/>
    <w:rsid w:val="266D6A9E"/>
    <w:rsid w:val="266F0A68"/>
    <w:rsid w:val="267E1792"/>
    <w:rsid w:val="26924756"/>
    <w:rsid w:val="26964247"/>
    <w:rsid w:val="26995AE5"/>
    <w:rsid w:val="269E30FB"/>
    <w:rsid w:val="269E759F"/>
    <w:rsid w:val="269F0C21"/>
    <w:rsid w:val="26A5092E"/>
    <w:rsid w:val="26A512B5"/>
    <w:rsid w:val="26A5448A"/>
    <w:rsid w:val="26AB75C6"/>
    <w:rsid w:val="26AD77E2"/>
    <w:rsid w:val="26AF5308"/>
    <w:rsid w:val="26B83FB2"/>
    <w:rsid w:val="26BF6625"/>
    <w:rsid w:val="26C07516"/>
    <w:rsid w:val="26C24F24"/>
    <w:rsid w:val="26C756D4"/>
    <w:rsid w:val="26CA5EFD"/>
    <w:rsid w:val="26CC5EBA"/>
    <w:rsid w:val="26DB434F"/>
    <w:rsid w:val="26E22F02"/>
    <w:rsid w:val="26E56F7C"/>
    <w:rsid w:val="26E8081A"/>
    <w:rsid w:val="26EF3957"/>
    <w:rsid w:val="26EF7DFB"/>
    <w:rsid w:val="26F1147D"/>
    <w:rsid w:val="26F121F0"/>
    <w:rsid w:val="26F7280B"/>
    <w:rsid w:val="26F947D6"/>
    <w:rsid w:val="27063DAD"/>
    <w:rsid w:val="270F7B55"/>
    <w:rsid w:val="271050EA"/>
    <w:rsid w:val="27165388"/>
    <w:rsid w:val="2725381D"/>
    <w:rsid w:val="27271343"/>
    <w:rsid w:val="272B22E1"/>
    <w:rsid w:val="272D447F"/>
    <w:rsid w:val="272E0923"/>
    <w:rsid w:val="27335F39"/>
    <w:rsid w:val="273E5806"/>
    <w:rsid w:val="27427F2B"/>
    <w:rsid w:val="27441BDE"/>
    <w:rsid w:val="27442A3F"/>
    <w:rsid w:val="274912B9"/>
    <w:rsid w:val="2753038A"/>
    <w:rsid w:val="275A0061"/>
    <w:rsid w:val="275D4D64"/>
    <w:rsid w:val="275F5AB1"/>
    <w:rsid w:val="27604855"/>
    <w:rsid w:val="27606603"/>
    <w:rsid w:val="27606C42"/>
    <w:rsid w:val="27677991"/>
    <w:rsid w:val="278A18D2"/>
    <w:rsid w:val="27932534"/>
    <w:rsid w:val="27933A2F"/>
    <w:rsid w:val="279462AC"/>
    <w:rsid w:val="27983FEE"/>
    <w:rsid w:val="27A6670B"/>
    <w:rsid w:val="27AB1F74"/>
    <w:rsid w:val="27B34984"/>
    <w:rsid w:val="27B64475"/>
    <w:rsid w:val="27B8643F"/>
    <w:rsid w:val="27C070A1"/>
    <w:rsid w:val="27C546B8"/>
    <w:rsid w:val="27C70430"/>
    <w:rsid w:val="27CC1EEA"/>
    <w:rsid w:val="27DB3EDB"/>
    <w:rsid w:val="27DF39CB"/>
    <w:rsid w:val="27EB2370"/>
    <w:rsid w:val="280B2A12"/>
    <w:rsid w:val="280C22E7"/>
    <w:rsid w:val="280C40A6"/>
    <w:rsid w:val="281713B7"/>
    <w:rsid w:val="281D62A2"/>
    <w:rsid w:val="28210363"/>
    <w:rsid w:val="28285372"/>
    <w:rsid w:val="283172FE"/>
    <w:rsid w:val="283244AF"/>
    <w:rsid w:val="283F446A"/>
    <w:rsid w:val="28433F5A"/>
    <w:rsid w:val="28451294"/>
    <w:rsid w:val="284A46BF"/>
    <w:rsid w:val="28522ACE"/>
    <w:rsid w:val="285C501C"/>
    <w:rsid w:val="285F68BA"/>
    <w:rsid w:val="28681C13"/>
    <w:rsid w:val="28697739"/>
    <w:rsid w:val="286B1703"/>
    <w:rsid w:val="28795BCE"/>
    <w:rsid w:val="28836A4D"/>
    <w:rsid w:val="28885E11"/>
    <w:rsid w:val="288A1B89"/>
    <w:rsid w:val="289070AB"/>
    <w:rsid w:val="28920A3E"/>
    <w:rsid w:val="2899001E"/>
    <w:rsid w:val="289B3919"/>
    <w:rsid w:val="28A32C4B"/>
    <w:rsid w:val="28A54C15"/>
    <w:rsid w:val="28A81A10"/>
    <w:rsid w:val="28A95D87"/>
    <w:rsid w:val="28B05368"/>
    <w:rsid w:val="28B44E58"/>
    <w:rsid w:val="28B55FDE"/>
    <w:rsid w:val="28BE5CD7"/>
    <w:rsid w:val="28C23D3D"/>
    <w:rsid w:val="28CA01D8"/>
    <w:rsid w:val="28CD1A76"/>
    <w:rsid w:val="28CD7CC8"/>
    <w:rsid w:val="28D41056"/>
    <w:rsid w:val="28E05C4D"/>
    <w:rsid w:val="28E374EB"/>
    <w:rsid w:val="28E60D8A"/>
    <w:rsid w:val="28E82D54"/>
    <w:rsid w:val="28F05539"/>
    <w:rsid w:val="28F214DC"/>
    <w:rsid w:val="28FB4835"/>
    <w:rsid w:val="28FD15BB"/>
    <w:rsid w:val="2900009D"/>
    <w:rsid w:val="29051B80"/>
    <w:rsid w:val="29057462"/>
    <w:rsid w:val="290C07F0"/>
    <w:rsid w:val="2916341D"/>
    <w:rsid w:val="291E22D1"/>
    <w:rsid w:val="2920429C"/>
    <w:rsid w:val="29235B3A"/>
    <w:rsid w:val="2927562A"/>
    <w:rsid w:val="29283150"/>
    <w:rsid w:val="29312A98"/>
    <w:rsid w:val="29385A89"/>
    <w:rsid w:val="29543F45"/>
    <w:rsid w:val="29672DF1"/>
    <w:rsid w:val="296C5733"/>
    <w:rsid w:val="297B3BC8"/>
    <w:rsid w:val="298962E5"/>
    <w:rsid w:val="298E56A9"/>
    <w:rsid w:val="29946A38"/>
    <w:rsid w:val="299802D6"/>
    <w:rsid w:val="29983066"/>
    <w:rsid w:val="299D58EC"/>
    <w:rsid w:val="29AA6439"/>
    <w:rsid w:val="29AE7AF9"/>
    <w:rsid w:val="29B449E4"/>
    <w:rsid w:val="29B844D4"/>
    <w:rsid w:val="29C0604C"/>
    <w:rsid w:val="29C56BF1"/>
    <w:rsid w:val="29C70BBB"/>
    <w:rsid w:val="29CC6EE1"/>
    <w:rsid w:val="29D07A70"/>
    <w:rsid w:val="29D532D8"/>
    <w:rsid w:val="29D86924"/>
    <w:rsid w:val="29DD03DE"/>
    <w:rsid w:val="29E17ECF"/>
    <w:rsid w:val="29E7300B"/>
    <w:rsid w:val="29F55728"/>
    <w:rsid w:val="29F6324E"/>
    <w:rsid w:val="29F714A0"/>
    <w:rsid w:val="2A0616E3"/>
    <w:rsid w:val="2A06316E"/>
    <w:rsid w:val="2A0D0CC4"/>
    <w:rsid w:val="2A104310"/>
    <w:rsid w:val="2A110088"/>
    <w:rsid w:val="2A133E00"/>
    <w:rsid w:val="2A1B4A63"/>
    <w:rsid w:val="2A21651D"/>
    <w:rsid w:val="2A225DF1"/>
    <w:rsid w:val="2A246B9F"/>
    <w:rsid w:val="2A2C0A1E"/>
    <w:rsid w:val="2A314286"/>
    <w:rsid w:val="2A3D0E7D"/>
    <w:rsid w:val="2A4144C9"/>
    <w:rsid w:val="2A420242"/>
    <w:rsid w:val="2A44220C"/>
    <w:rsid w:val="2A461AE0"/>
    <w:rsid w:val="2A465F84"/>
    <w:rsid w:val="2A494E3C"/>
    <w:rsid w:val="2A5266D7"/>
    <w:rsid w:val="2A5C2AB9"/>
    <w:rsid w:val="2A742AF1"/>
    <w:rsid w:val="2A75298E"/>
    <w:rsid w:val="2A7A5C2D"/>
    <w:rsid w:val="2A7A79DB"/>
    <w:rsid w:val="2A7D415A"/>
    <w:rsid w:val="2A8B7E3A"/>
    <w:rsid w:val="2A8E16D9"/>
    <w:rsid w:val="2A9270B0"/>
    <w:rsid w:val="2AA131BA"/>
    <w:rsid w:val="2AA607D0"/>
    <w:rsid w:val="2AA8279A"/>
    <w:rsid w:val="2AA9206F"/>
    <w:rsid w:val="2AAC181C"/>
    <w:rsid w:val="2AB32EED"/>
    <w:rsid w:val="2AB70C30"/>
    <w:rsid w:val="2AB96756"/>
    <w:rsid w:val="2AC753F1"/>
    <w:rsid w:val="2ACB6489"/>
    <w:rsid w:val="2AD92954"/>
    <w:rsid w:val="2AD93CB2"/>
    <w:rsid w:val="2AE15CAC"/>
    <w:rsid w:val="2AE65071"/>
    <w:rsid w:val="2AEC1510"/>
    <w:rsid w:val="2AEC6B2B"/>
    <w:rsid w:val="2AEF3F25"/>
    <w:rsid w:val="2B004385"/>
    <w:rsid w:val="2B02634F"/>
    <w:rsid w:val="2B053749"/>
    <w:rsid w:val="2B073965"/>
    <w:rsid w:val="2B084FE7"/>
    <w:rsid w:val="2B0D6AA1"/>
    <w:rsid w:val="2B0E36C7"/>
    <w:rsid w:val="2B1E2A5D"/>
    <w:rsid w:val="2B200583"/>
    <w:rsid w:val="2B3C1135"/>
    <w:rsid w:val="2B430715"/>
    <w:rsid w:val="2B4A5600"/>
    <w:rsid w:val="2B4D3342"/>
    <w:rsid w:val="2B5B780D"/>
    <w:rsid w:val="2B606BD1"/>
    <w:rsid w:val="2B674404"/>
    <w:rsid w:val="2B68108F"/>
    <w:rsid w:val="2B6D7D2A"/>
    <w:rsid w:val="2B6F5066"/>
    <w:rsid w:val="2B710DDE"/>
    <w:rsid w:val="2B724B56"/>
    <w:rsid w:val="2B74267D"/>
    <w:rsid w:val="2B81239B"/>
    <w:rsid w:val="2B844FB6"/>
    <w:rsid w:val="2B852ADC"/>
    <w:rsid w:val="2B8A00F2"/>
    <w:rsid w:val="2B8D373E"/>
    <w:rsid w:val="2B8E1652"/>
    <w:rsid w:val="2B8E42EF"/>
    <w:rsid w:val="2B8E7BE2"/>
    <w:rsid w:val="2B8F74B6"/>
    <w:rsid w:val="2B9144CC"/>
    <w:rsid w:val="2B940F71"/>
    <w:rsid w:val="2B9845BD"/>
    <w:rsid w:val="2BA2368E"/>
    <w:rsid w:val="2BB313F7"/>
    <w:rsid w:val="2BB80B55"/>
    <w:rsid w:val="2BB84C5F"/>
    <w:rsid w:val="2BBD0FD9"/>
    <w:rsid w:val="2BBE0747"/>
    <w:rsid w:val="2BC730F4"/>
    <w:rsid w:val="2BCC6656"/>
    <w:rsid w:val="2BD124EC"/>
    <w:rsid w:val="2BDA4BD6"/>
    <w:rsid w:val="2BE27F2E"/>
    <w:rsid w:val="2BE47802"/>
    <w:rsid w:val="2BEF7575"/>
    <w:rsid w:val="2BF11F1F"/>
    <w:rsid w:val="2BF4429B"/>
    <w:rsid w:val="2BF57C61"/>
    <w:rsid w:val="2BF612E4"/>
    <w:rsid w:val="2BF67536"/>
    <w:rsid w:val="2C0D4D5A"/>
    <w:rsid w:val="2C0F23A5"/>
    <w:rsid w:val="2C1506CD"/>
    <w:rsid w:val="2C205F03"/>
    <w:rsid w:val="2C230813"/>
    <w:rsid w:val="2C28298A"/>
    <w:rsid w:val="2C2E0A7D"/>
    <w:rsid w:val="2C351E0C"/>
    <w:rsid w:val="2C3A1B18"/>
    <w:rsid w:val="2C3B2FF2"/>
    <w:rsid w:val="2C491D5B"/>
    <w:rsid w:val="2C4E7372"/>
    <w:rsid w:val="2C5801F0"/>
    <w:rsid w:val="2C583D4C"/>
    <w:rsid w:val="2C5A0CBA"/>
    <w:rsid w:val="2C5F50DB"/>
    <w:rsid w:val="2C640943"/>
    <w:rsid w:val="2C66290D"/>
    <w:rsid w:val="2C6721E1"/>
    <w:rsid w:val="2C695F59"/>
    <w:rsid w:val="2C697D08"/>
    <w:rsid w:val="2C804A2E"/>
    <w:rsid w:val="2C892A42"/>
    <w:rsid w:val="2C8965FC"/>
    <w:rsid w:val="2C941A54"/>
    <w:rsid w:val="2C970D19"/>
    <w:rsid w:val="2CA23219"/>
    <w:rsid w:val="2CAB0320"/>
    <w:rsid w:val="2CAF5E9E"/>
    <w:rsid w:val="2CBA4A07"/>
    <w:rsid w:val="2CBE62A5"/>
    <w:rsid w:val="2CC633AC"/>
    <w:rsid w:val="2CD2151B"/>
    <w:rsid w:val="2CD5539D"/>
    <w:rsid w:val="2CE37ABA"/>
    <w:rsid w:val="2CED0939"/>
    <w:rsid w:val="2CF02F60"/>
    <w:rsid w:val="2CFC0B7C"/>
    <w:rsid w:val="2D015E4B"/>
    <w:rsid w:val="2D016BD6"/>
    <w:rsid w:val="2D0839C4"/>
    <w:rsid w:val="2D0A773C"/>
    <w:rsid w:val="2D0B5263"/>
    <w:rsid w:val="2D0F08AF"/>
    <w:rsid w:val="2D104627"/>
    <w:rsid w:val="2D114838"/>
    <w:rsid w:val="2D1759B5"/>
    <w:rsid w:val="2D1A7254"/>
    <w:rsid w:val="2D1C5FF6"/>
    <w:rsid w:val="2D2325AC"/>
    <w:rsid w:val="2D256324"/>
    <w:rsid w:val="2D281971"/>
    <w:rsid w:val="2D297497"/>
    <w:rsid w:val="2D300825"/>
    <w:rsid w:val="2D306A77"/>
    <w:rsid w:val="2D320A41"/>
    <w:rsid w:val="2D3A2A61"/>
    <w:rsid w:val="2D4349FC"/>
    <w:rsid w:val="2D450775"/>
    <w:rsid w:val="2D46629B"/>
    <w:rsid w:val="2D4B565F"/>
    <w:rsid w:val="2D522E91"/>
    <w:rsid w:val="2D5269EE"/>
    <w:rsid w:val="2D537F6F"/>
    <w:rsid w:val="2D564730"/>
    <w:rsid w:val="2D595FCE"/>
    <w:rsid w:val="2D5B1872"/>
    <w:rsid w:val="2D636E4D"/>
    <w:rsid w:val="2D6A1F89"/>
    <w:rsid w:val="2D6C5D01"/>
    <w:rsid w:val="2D6F134E"/>
    <w:rsid w:val="2D727090"/>
    <w:rsid w:val="2D776454"/>
    <w:rsid w:val="2D7B3BC0"/>
    <w:rsid w:val="2D7B5F44"/>
    <w:rsid w:val="2D80355B"/>
    <w:rsid w:val="2D83129D"/>
    <w:rsid w:val="2D83555C"/>
    <w:rsid w:val="2D8C0151"/>
    <w:rsid w:val="2D937732"/>
    <w:rsid w:val="2D940DB4"/>
    <w:rsid w:val="2D947006"/>
    <w:rsid w:val="2D960FD0"/>
    <w:rsid w:val="2DA03BFD"/>
    <w:rsid w:val="2DA52FC1"/>
    <w:rsid w:val="2DA57465"/>
    <w:rsid w:val="2DA846A6"/>
    <w:rsid w:val="2DAE631A"/>
    <w:rsid w:val="2DB26E52"/>
    <w:rsid w:val="2DBB0A37"/>
    <w:rsid w:val="2DC23B73"/>
    <w:rsid w:val="2DC25921"/>
    <w:rsid w:val="2DCA0CB5"/>
    <w:rsid w:val="2DCA2A28"/>
    <w:rsid w:val="2DD72844"/>
    <w:rsid w:val="2DDB4C35"/>
    <w:rsid w:val="2DDE7769"/>
    <w:rsid w:val="2DE044A3"/>
    <w:rsid w:val="2DE33AEA"/>
    <w:rsid w:val="2DE55AB4"/>
    <w:rsid w:val="2DE955A4"/>
    <w:rsid w:val="2DEE2BBA"/>
    <w:rsid w:val="2DF83A39"/>
    <w:rsid w:val="2DFB2564"/>
    <w:rsid w:val="2E0C1292"/>
    <w:rsid w:val="2E0C2302"/>
    <w:rsid w:val="2E100D83"/>
    <w:rsid w:val="2E1B7695"/>
    <w:rsid w:val="2E1D6FFC"/>
    <w:rsid w:val="2E1F0FC6"/>
    <w:rsid w:val="2E262354"/>
    <w:rsid w:val="2E3C5442"/>
    <w:rsid w:val="2E41718E"/>
    <w:rsid w:val="2E47051C"/>
    <w:rsid w:val="2E497DF1"/>
    <w:rsid w:val="2E4B194B"/>
    <w:rsid w:val="2E56075F"/>
    <w:rsid w:val="2E5B7B24"/>
    <w:rsid w:val="2E5D389C"/>
    <w:rsid w:val="2E5F1C6C"/>
    <w:rsid w:val="2E5F7614"/>
    <w:rsid w:val="2E6B5FB9"/>
    <w:rsid w:val="2E755089"/>
    <w:rsid w:val="2E7A61FC"/>
    <w:rsid w:val="2E7F3812"/>
    <w:rsid w:val="2E864BA1"/>
    <w:rsid w:val="2E8E7EF9"/>
    <w:rsid w:val="2EA17C2D"/>
    <w:rsid w:val="2EA500D8"/>
    <w:rsid w:val="2EB711FE"/>
    <w:rsid w:val="2EC61441"/>
    <w:rsid w:val="2ED00512"/>
    <w:rsid w:val="2ED3590C"/>
    <w:rsid w:val="2EDD678B"/>
    <w:rsid w:val="2EE23DA1"/>
    <w:rsid w:val="2EE96D84"/>
    <w:rsid w:val="2EF20488"/>
    <w:rsid w:val="2F07511C"/>
    <w:rsid w:val="2F097580"/>
    <w:rsid w:val="2F0F2DE8"/>
    <w:rsid w:val="2F176141"/>
    <w:rsid w:val="2F25260C"/>
    <w:rsid w:val="2F2919D0"/>
    <w:rsid w:val="2F3C5BA7"/>
    <w:rsid w:val="2F3D70C2"/>
    <w:rsid w:val="2F3F2FA2"/>
    <w:rsid w:val="2F530219"/>
    <w:rsid w:val="2F546A4D"/>
    <w:rsid w:val="2F564649"/>
    <w:rsid w:val="2F5729E1"/>
    <w:rsid w:val="2F6649D2"/>
    <w:rsid w:val="2F6D3FB3"/>
    <w:rsid w:val="2F735BF6"/>
    <w:rsid w:val="2F754C15"/>
    <w:rsid w:val="2F7B222C"/>
    <w:rsid w:val="2F8530AA"/>
    <w:rsid w:val="2F884949"/>
    <w:rsid w:val="2F8F217B"/>
    <w:rsid w:val="2F911A4F"/>
    <w:rsid w:val="2F921DE6"/>
    <w:rsid w:val="2F961351"/>
    <w:rsid w:val="2F9652B7"/>
    <w:rsid w:val="2FA379D4"/>
    <w:rsid w:val="2FA8323D"/>
    <w:rsid w:val="2FB41BE1"/>
    <w:rsid w:val="2FB42FA2"/>
    <w:rsid w:val="2FB67708"/>
    <w:rsid w:val="2FBB6ED6"/>
    <w:rsid w:val="2FC954B5"/>
    <w:rsid w:val="2FD921D8"/>
    <w:rsid w:val="2FEE6EA1"/>
    <w:rsid w:val="2FF40230"/>
    <w:rsid w:val="2FF97725"/>
    <w:rsid w:val="300761B5"/>
    <w:rsid w:val="300F6E18"/>
    <w:rsid w:val="30135744"/>
    <w:rsid w:val="30147022"/>
    <w:rsid w:val="30204B81"/>
    <w:rsid w:val="3029612C"/>
    <w:rsid w:val="302C79CA"/>
    <w:rsid w:val="303643A5"/>
    <w:rsid w:val="303B62BD"/>
    <w:rsid w:val="303C35C6"/>
    <w:rsid w:val="303E6DDB"/>
    <w:rsid w:val="30446AC1"/>
    <w:rsid w:val="3049057C"/>
    <w:rsid w:val="304E5B92"/>
    <w:rsid w:val="304F5466"/>
    <w:rsid w:val="30556F21"/>
    <w:rsid w:val="306233EC"/>
    <w:rsid w:val="30654C8A"/>
    <w:rsid w:val="306779EE"/>
    <w:rsid w:val="3069477A"/>
    <w:rsid w:val="306B04F2"/>
    <w:rsid w:val="306B6744"/>
    <w:rsid w:val="306E1D90"/>
    <w:rsid w:val="307B44AD"/>
    <w:rsid w:val="307F5D4C"/>
    <w:rsid w:val="30817D16"/>
    <w:rsid w:val="308405B2"/>
    <w:rsid w:val="30850E88"/>
    <w:rsid w:val="309537C1"/>
    <w:rsid w:val="3098505F"/>
    <w:rsid w:val="309F63EE"/>
    <w:rsid w:val="30A6152A"/>
    <w:rsid w:val="30A6777C"/>
    <w:rsid w:val="30A752A2"/>
    <w:rsid w:val="30B31E99"/>
    <w:rsid w:val="30B4698C"/>
    <w:rsid w:val="30B71989"/>
    <w:rsid w:val="30BB2AFC"/>
    <w:rsid w:val="30BF25EC"/>
    <w:rsid w:val="30C47C02"/>
    <w:rsid w:val="30C6397A"/>
    <w:rsid w:val="30C95219"/>
    <w:rsid w:val="30CC4D09"/>
    <w:rsid w:val="30CE0301"/>
    <w:rsid w:val="30D31AAF"/>
    <w:rsid w:val="30DD2A72"/>
    <w:rsid w:val="30E262DA"/>
    <w:rsid w:val="30E91417"/>
    <w:rsid w:val="30EB1633"/>
    <w:rsid w:val="30F009F7"/>
    <w:rsid w:val="30F2476F"/>
    <w:rsid w:val="30F971CD"/>
    <w:rsid w:val="30FA3624"/>
    <w:rsid w:val="30FC739C"/>
    <w:rsid w:val="30FD4EC2"/>
    <w:rsid w:val="310821E5"/>
    <w:rsid w:val="310E70CF"/>
    <w:rsid w:val="3115220C"/>
    <w:rsid w:val="311E0045"/>
    <w:rsid w:val="31215055"/>
    <w:rsid w:val="31217344"/>
    <w:rsid w:val="31304161"/>
    <w:rsid w:val="313B3602"/>
    <w:rsid w:val="31410BFA"/>
    <w:rsid w:val="3143321D"/>
    <w:rsid w:val="315216B2"/>
    <w:rsid w:val="3152520E"/>
    <w:rsid w:val="315A0567"/>
    <w:rsid w:val="31603DCF"/>
    <w:rsid w:val="31644F41"/>
    <w:rsid w:val="316F4012"/>
    <w:rsid w:val="317258B0"/>
    <w:rsid w:val="31747964"/>
    <w:rsid w:val="31762E7C"/>
    <w:rsid w:val="31785E93"/>
    <w:rsid w:val="317A4765"/>
    <w:rsid w:val="317C04DD"/>
    <w:rsid w:val="317E5D42"/>
    <w:rsid w:val="318555E4"/>
    <w:rsid w:val="31857392"/>
    <w:rsid w:val="31886E82"/>
    <w:rsid w:val="31992E3D"/>
    <w:rsid w:val="31A11CF2"/>
    <w:rsid w:val="31A43590"/>
    <w:rsid w:val="31A83080"/>
    <w:rsid w:val="31B03C1C"/>
    <w:rsid w:val="31B25CAD"/>
    <w:rsid w:val="31B732C3"/>
    <w:rsid w:val="31B9528D"/>
    <w:rsid w:val="31B9703B"/>
    <w:rsid w:val="31C0661C"/>
    <w:rsid w:val="31CB6D6E"/>
    <w:rsid w:val="31DD5420"/>
    <w:rsid w:val="31DD71CE"/>
    <w:rsid w:val="31F2079F"/>
    <w:rsid w:val="320329AC"/>
    <w:rsid w:val="3203475A"/>
    <w:rsid w:val="3207249C"/>
    <w:rsid w:val="32085CA7"/>
    <w:rsid w:val="32096215"/>
    <w:rsid w:val="320C360F"/>
    <w:rsid w:val="32186458"/>
    <w:rsid w:val="32222E32"/>
    <w:rsid w:val="32292413"/>
    <w:rsid w:val="322A618B"/>
    <w:rsid w:val="322F37A1"/>
    <w:rsid w:val="32326DEE"/>
    <w:rsid w:val="32364B30"/>
    <w:rsid w:val="32384404"/>
    <w:rsid w:val="323A2D06"/>
    <w:rsid w:val="3240150B"/>
    <w:rsid w:val="324C4353"/>
    <w:rsid w:val="3251196A"/>
    <w:rsid w:val="32546D64"/>
    <w:rsid w:val="32562ADC"/>
    <w:rsid w:val="325F5E35"/>
    <w:rsid w:val="325F776F"/>
    <w:rsid w:val="32737B32"/>
    <w:rsid w:val="32747406"/>
    <w:rsid w:val="32786EF6"/>
    <w:rsid w:val="3281224F"/>
    <w:rsid w:val="328E2276"/>
    <w:rsid w:val="328E671A"/>
    <w:rsid w:val="3291620A"/>
    <w:rsid w:val="32975E35"/>
    <w:rsid w:val="329D4BAF"/>
    <w:rsid w:val="32A41A99"/>
    <w:rsid w:val="32A52030"/>
    <w:rsid w:val="32A95302"/>
    <w:rsid w:val="32A970B0"/>
    <w:rsid w:val="32AA2E28"/>
    <w:rsid w:val="32B048E2"/>
    <w:rsid w:val="32B15649"/>
    <w:rsid w:val="32B37F2E"/>
    <w:rsid w:val="32B617CD"/>
    <w:rsid w:val="32C57C62"/>
    <w:rsid w:val="32DC622C"/>
    <w:rsid w:val="32E53E60"/>
    <w:rsid w:val="32F32A21"/>
    <w:rsid w:val="32F50547"/>
    <w:rsid w:val="32FA790B"/>
    <w:rsid w:val="3304078A"/>
    <w:rsid w:val="330C0FF8"/>
    <w:rsid w:val="331035D3"/>
    <w:rsid w:val="331165AB"/>
    <w:rsid w:val="331210F9"/>
    <w:rsid w:val="33136C1F"/>
    <w:rsid w:val="3318421F"/>
    <w:rsid w:val="331C5AD4"/>
    <w:rsid w:val="331E5FDE"/>
    <w:rsid w:val="332350B4"/>
    <w:rsid w:val="33266952"/>
    <w:rsid w:val="33267CE8"/>
    <w:rsid w:val="33296443"/>
    <w:rsid w:val="332B21BB"/>
    <w:rsid w:val="332C1A8F"/>
    <w:rsid w:val="33323549"/>
    <w:rsid w:val="33364383"/>
    <w:rsid w:val="33370B5F"/>
    <w:rsid w:val="333948D8"/>
    <w:rsid w:val="333C43C8"/>
    <w:rsid w:val="333E1EEE"/>
    <w:rsid w:val="333F5C66"/>
    <w:rsid w:val="333F7A14"/>
    <w:rsid w:val="334868C9"/>
    <w:rsid w:val="334943EF"/>
    <w:rsid w:val="3353635E"/>
    <w:rsid w:val="33596D28"/>
    <w:rsid w:val="335D4390"/>
    <w:rsid w:val="336B25B7"/>
    <w:rsid w:val="33727DEA"/>
    <w:rsid w:val="33792F26"/>
    <w:rsid w:val="3381627F"/>
    <w:rsid w:val="33883169"/>
    <w:rsid w:val="338B4A07"/>
    <w:rsid w:val="33923FE8"/>
    <w:rsid w:val="33953AD8"/>
    <w:rsid w:val="339935C8"/>
    <w:rsid w:val="339C56C7"/>
    <w:rsid w:val="33A45AC9"/>
    <w:rsid w:val="33A61841"/>
    <w:rsid w:val="33A8380B"/>
    <w:rsid w:val="33A904D9"/>
    <w:rsid w:val="33B12A0B"/>
    <w:rsid w:val="33B45D0C"/>
    <w:rsid w:val="33B64660"/>
    <w:rsid w:val="33B73A4E"/>
    <w:rsid w:val="33C17F57"/>
    <w:rsid w:val="33C30645"/>
    <w:rsid w:val="33C63C91"/>
    <w:rsid w:val="33C817B8"/>
    <w:rsid w:val="33D26ADA"/>
    <w:rsid w:val="33D463AE"/>
    <w:rsid w:val="33D61941"/>
    <w:rsid w:val="33DE2DEB"/>
    <w:rsid w:val="33DE547F"/>
    <w:rsid w:val="33E83C08"/>
    <w:rsid w:val="33EA3E24"/>
    <w:rsid w:val="33EF143A"/>
    <w:rsid w:val="33F26834"/>
    <w:rsid w:val="33F627C9"/>
    <w:rsid w:val="33FD02AB"/>
    <w:rsid w:val="33FF0C35"/>
    <w:rsid w:val="34030A42"/>
    <w:rsid w:val="34036C94"/>
    <w:rsid w:val="34056568"/>
    <w:rsid w:val="340A0022"/>
    <w:rsid w:val="340A284A"/>
    <w:rsid w:val="34120C85"/>
    <w:rsid w:val="34142C4F"/>
    <w:rsid w:val="3422536C"/>
    <w:rsid w:val="34267766"/>
    <w:rsid w:val="342B17CD"/>
    <w:rsid w:val="34360155"/>
    <w:rsid w:val="343C3F54"/>
    <w:rsid w:val="34441786"/>
    <w:rsid w:val="34451212"/>
    <w:rsid w:val="34480B4A"/>
    <w:rsid w:val="344A2B14"/>
    <w:rsid w:val="344F1158"/>
    <w:rsid w:val="345D63A4"/>
    <w:rsid w:val="346631A2"/>
    <w:rsid w:val="346E5661"/>
    <w:rsid w:val="34727975"/>
    <w:rsid w:val="3473371C"/>
    <w:rsid w:val="34802092"/>
    <w:rsid w:val="34897199"/>
    <w:rsid w:val="348E4BCA"/>
    <w:rsid w:val="349A75F8"/>
    <w:rsid w:val="34A00986"/>
    <w:rsid w:val="34A40978"/>
    <w:rsid w:val="34A83397"/>
    <w:rsid w:val="34B93505"/>
    <w:rsid w:val="34C603ED"/>
    <w:rsid w:val="34C7361A"/>
    <w:rsid w:val="34D36172"/>
    <w:rsid w:val="34D66156"/>
    <w:rsid w:val="34DD1293"/>
    <w:rsid w:val="34DD55DC"/>
    <w:rsid w:val="34DE1E0B"/>
    <w:rsid w:val="34DF14AF"/>
    <w:rsid w:val="34E6476A"/>
    <w:rsid w:val="34E72111"/>
    <w:rsid w:val="34EC3BCC"/>
    <w:rsid w:val="34F862CD"/>
    <w:rsid w:val="35004F81"/>
    <w:rsid w:val="35020CF9"/>
    <w:rsid w:val="35040F15"/>
    <w:rsid w:val="352769B2"/>
    <w:rsid w:val="352C3FC8"/>
    <w:rsid w:val="352C63FE"/>
    <w:rsid w:val="352D221A"/>
    <w:rsid w:val="35325A82"/>
    <w:rsid w:val="35453974"/>
    <w:rsid w:val="35472BB0"/>
    <w:rsid w:val="354D6735"/>
    <w:rsid w:val="354E45C2"/>
    <w:rsid w:val="355157DD"/>
    <w:rsid w:val="355A28E3"/>
    <w:rsid w:val="355C665B"/>
    <w:rsid w:val="355D4AD0"/>
    <w:rsid w:val="355E0166"/>
    <w:rsid w:val="35610116"/>
    <w:rsid w:val="356674DA"/>
    <w:rsid w:val="35684E2E"/>
    <w:rsid w:val="356A1FBE"/>
    <w:rsid w:val="356B689E"/>
    <w:rsid w:val="356C2617"/>
    <w:rsid w:val="356F257B"/>
    <w:rsid w:val="35702107"/>
    <w:rsid w:val="35715867"/>
    <w:rsid w:val="357C0AAC"/>
    <w:rsid w:val="357D4824"/>
    <w:rsid w:val="358160C2"/>
    <w:rsid w:val="35847960"/>
    <w:rsid w:val="3589141A"/>
    <w:rsid w:val="358918C4"/>
    <w:rsid w:val="358B7565"/>
    <w:rsid w:val="3592207D"/>
    <w:rsid w:val="35935DF5"/>
    <w:rsid w:val="359E195C"/>
    <w:rsid w:val="35A149B6"/>
    <w:rsid w:val="35A16764"/>
    <w:rsid w:val="35AD335B"/>
    <w:rsid w:val="35BA5438"/>
    <w:rsid w:val="35BE2E72"/>
    <w:rsid w:val="35CD1307"/>
    <w:rsid w:val="35CF0FB0"/>
    <w:rsid w:val="35DD796A"/>
    <w:rsid w:val="35DF4F0C"/>
    <w:rsid w:val="35F1149A"/>
    <w:rsid w:val="35F22F2C"/>
    <w:rsid w:val="35FC7E3E"/>
    <w:rsid w:val="3601209F"/>
    <w:rsid w:val="360311CD"/>
    <w:rsid w:val="360D5BA8"/>
    <w:rsid w:val="360F36CE"/>
    <w:rsid w:val="36154A5C"/>
    <w:rsid w:val="361707D4"/>
    <w:rsid w:val="362178A5"/>
    <w:rsid w:val="36235E76"/>
    <w:rsid w:val="36291591"/>
    <w:rsid w:val="362A49AB"/>
    <w:rsid w:val="36421CF5"/>
    <w:rsid w:val="36541A28"/>
    <w:rsid w:val="36590DED"/>
    <w:rsid w:val="365A7F9B"/>
    <w:rsid w:val="365B4B65"/>
    <w:rsid w:val="365C268B"/>
    <w:rsid w:val="365D08DD"/>
    <w:rsid w:val="36617CA1"/>
    <w:rsid w:val="366A2FFA"/>
    <w:rsid w:val="36713175"/>
    <w:rsid w:val="36716136"/>
    <w:rsid w:val="367E1BF5"/>
    <w:rsid w:val="36826596"/>
    <w:rsid w:val="36835E6A"/>
    <w:rsid w:val="368816D2"/>
    <w:rsid w:val="368C11C2"/>
    <w:rsid w:val="368E4F3A"/>
    <w:rsid w:val="3699568D"/>
    <w:rsid w:val="36AF3103"/>
    <w:rsid w:val="36B50719"/>
    <w:rsid w:val="36C464F3"/>
    <w:rsid w:val="36CA1CEB"/>
    <w:rsid w:val="36D05553"/>
    <w:rsid w:val="36DB3EF8"/>
    <w:rsid w:val="36E903C3"/>
    <w:rsid w:val="36F9612C"/>
    <w:rsid w:val="36FC6348"/>
    <w:rsid w:val="3701395E"/>
    <w:rsid w:val="37074CED"/>
    <w:rsid w:val="370A0339"/>
    <w:rsid w:val="370E7E29"/>
    <w:rsid w:val="370F76FD"/>
    <w:rsid w:val="37184804"/>
    <w:rsid w:val="371D006C"/>
    <w:rsid w:val="371D62BE"/>
    <w:rsid w:val="37256F21"/>
    <w:rsid w:val="37270EEB"/>
    <w:rsid w:val="372A4537"/>
    <w:rsid w:val="372E05AC"/>
    <w:rsid w:val="372E2279"/>
    <w:rsid w:val="37357164"/>
    <w:rsid w:val="37390631"/>
    <w:rsid w:val="373E51E5"/>
    <w:rsid w:val="374675C3"/>
    <w:rsid w:val="374750E9"/>
    <w:rsid w:val="374E6478"/>
    <w:rsid w:val="375021F0"/>
    <w:rsid w:val="37530613"/>
    <w:rsid w:val="37537F32"/>
    <w:rsid w:val="37773C20"/>
    <w:rsid w:val="377834F5"/>
    <w:rsid w:val="37783580"/>
    <w:rsid w:val="377C2FE5"/>
    <w:rsid w:val="377F2AD5"/>
    <w:rsid w:val="378400EB"/>
    <w:rsid w:val="3788163D"/>
    <w:rsid w:val="378974B0"/>
    <w:rsid w:val="379876F3"/>
    <w:rsid w:val="379B7E94"/>
    <w:rsid w:val="37A4078E"/>
    <w:rsid w:val="37A766E7"/>
    <w:rsid w:val="37AB5678"/>
    <w:rsid w:val="37AE6F16"/>
    <w:rsid w:val="37AE7350"/>
    <w:rsid w:val="37B00763"/>
    <w:rsid w:val="37B02950"/>
    <w:rsid w:val="37B07132"/>
    <w:rsid w:val="37BA3B0D"/>
    <w:rsid w:val="37BE184F"/>
    <w:rsid w:val="37BF1123"/>
    <w:rsid w:val="37C60704"/>
    <w:rsid w:val="37C8447C"/>
    <w:rsid w:val="37C8622A"/>
    <w:rsid w:val="37CE1367"/>
    <w:rsid w:val="37D22C05"/>
    <w:rsid w:val="37D414FF"/>
    <w:rsid w:val="37D50947"/>
    <w:rsid w:val="37D90437"/>
    <w:rsid w:val="37D96BD0"/>
    <w:rsid w:val="37DF5322"/>
    <w:rsid w:val="37E312B6"/>
    <w:rsid w:val="37EA6B14"/>
    <w:rsid w:val="37F012DD"/>
    <w:rsid w:val="37F05781"/>
    <w:rsid w:val="37F52318"/>
    <w:rsid w:val="38064FA4"/>
    <w:rsid w:val="38080D1C"/>
    <w:rsid w:val="38086714"/>
    <w:rsid w:val="38107BD1"/>
    <w:rsid w:val="38184D3B"/>
    <w:rsid w:val="38275CCC"/>
    <w:rsid w:val="382947EF"/>
    <w:rsid w:val="38306BDA"/>
    <w:rsid w:val="383513E6"/>
    <w:rsid w:val="38390ED6"/>
    <w:rsid w:val="3845787B"/>
    <w:rsid w:val="384A7A8F"/>
    <w:rsid w:val="384D4981"/>
    <w:rsid w:val="3862667F"/>
    <w:rsid w:val="38653A79"/>
    <w:rsid w:val="38664C72"/>
    <w:rsid w:val="38673C95"/>
    <w:rsid w:val="386D6DD1"/>
    <w:rsid w:val="38794841"/>
    <w:rsid w:val="387B14EE"/>
    <w:rsid w:val="3882287D"/>
    <w:rsid w:val="388365F5"/>
    <w:rsid w:val="38845B26"/>
    <w:rsid w:val="388C54AA"/>
    <w:rsid w:val="3894435E"/>
    <w:rsid w:val="3894610C"/>
    <w:rsid w:val="389941AE"/>
    <w:rsid w:val="389E2516"/>
    <w:rsid w:val="38B62526"/>
    <w:rsid w:val="38B6476F"/>
    <w:rsid w:val="38B844F1"/>
    <w:rsid w:val="38BB7B3D"/>
    <w:rsid w:val="38BE2B62"/>
    <w:rsid w:val="38C05153"/>
    <w:rsid w:val="38C22C79"/>
    <w:rsid w:val="38C34C43"/>
    <w:rsid w:val="38C557CC"/>
    <w:rsid w:val="38D806EF"/>
    <w:rsid w:val="38E76B84"/>
    <w:rsid w:val="38E928FC"/>
    <w:rsid w:val="38EF77E6"/>
    <w:rsid w:val="38F31085"/>
    <w:rsid w:val="38F66DC7"/>
    <w:rsid w:val="39094D4C"/>
    <w:rsid w:val="39167469"/>
    <w:rsid w:val="39241B86"/>
    <w:rsid w:val="393022D9"/>
    <w:rsid w:val="39313C3C"/>
    <w:rsid w:val="39363667"/>
    <w:rsid w:val="39365415"/>
    <w:rsid w:val="393B0C7E"/>
    <w:rsid w:val="39447B32"/>
    <w:rsid w:val="394A48AE"/>
    <w:rsid w:val="394B7113"/>
    <w:rsid w:val="394C4C39"/>
    <w:rsid w:val="394F0285"/>
    <w:rsid w:val="39553AED"/>
    <w:rsid w:val="3956224D"/>
    <w:rsid w:val="395B4E7C"/>
    <w:rsid w:val="39621CD3"/>
    <w:rsid w:val="39657AA9"/>
    <w:rsid w:val="396957EB"/>
    <w:rsid w:val="396B3311"/>
    <w:rsid w:val="396C0E37"/>
    <w:rsid w:val="396C7C6D"/>
    <w:rsid w:val="39700927"/>
    <w:rsid w:val="397321C6"/>
    <w:rsid w:val="39777F08"/>
    <w:rsid w:val="397D1296"/>
    <w:rsid w:val="398048E2"/>
    <w:rsid w:val="39842625"/>
    <w:rsid w:val="398E5251"/>
    <w:rsid w:val="398E6FFF"/>
    <w:rsid w:val="39900FC9"/>
    <w:rsid w:val="399860D0"/>
    <w:rsid w:val="399B0837"/>
    <w:rsid w:val="399F120C"/>
    <w:rsid w:val="39A324C5"/>
    <w:rsid w:val="39A46823"/>
    <w:rsid w:val="39B0341A"/>
    <w:rsid w:val="39BD78E5"/>
    <w:rsid w:val="39BF18AF"/>
    <w:rsid w:val="39C173D5"/>
    <w:rsid w:val="39C40C73"/>
    <w:rsid w:val="39C82440"/>
    <w:rsid w:val="39D37108"/>
    <w:rsid w:val="39DE1D35"/>
    <w:rsid w:val="39DF5AAD"/>
    <w:rsid w:val="39EA67AF"/>
    <w:rsid w:val="39F33306"/>
    <w:rsid w:val="39F5707E"/>
    <w:rsid w:val="39FA6443"/>
    <w:rsid w:val="3A03414A"/>
    <w:rsid w:val="3A0D261A"/>
    <w:rsid w:val="3A0D6176"/>
    <w:rsid w:val="3A10210A"/>
    <w:rsid w:val="3A125E82"/>
    <w:rsid w:val="3A1514CF"/>
    <w:rsid w:val="3A1F40FB"/>
    <w:rsid w:val="3A331955"/>
    <w:rsid w:val="3A3758E9"/>
    <w:rsid w:val="3A3E4582"/>
    <w:rsid w:val="3A4134C8"/>
    <w:rsid w:val="3A443B62"/>
    <w:rsid w:val="3A483652"/>
    <w:rsid w:val="3A52002D"/>
    <w:rsid w:val="3A5E0468"/>
    <w:rsid w:val="3A5E2E76"/>
    <w:rsid w:val="3A667F7C"/>
    <w:rsid w:val="3A6A181A"/>
    <w:rsid w:val="3A744447"/>
    <w:rsid w:val="3A7601BF"/>
    <w:rsid w:val="3A7B3A28"/>
    <w:rsid w:val="3A7D77A0"/>
    <w:rsid w:val="3A8005E5"/>
    <w:rsid w:val="3A836438"/>
    <w:rsid w:val="3A865F28"/>
    <w:rsid w:val="3A8A5A19"/>
    <w:rsid w:val="3A922B1F"/>
    <w:rsid w:val="3A9C399E"/>
    <w:rsid w:val="3AA009A1"/>
    <w:rsid w:val="3AB111F7"/>
    <w:rsid w:val="3AB71B73"/>
    <w:rsid w:val="3AB94550"/>
    <w:rsid w:val="3AC0143A"/>
    <w:rsid w:val="3AC3717D"/>
    <w:rsid w:val="3ACF167E"/>
    <w:rsid w:val="3AD4138A"/>
    <w:rsid w:val="3AD44EE6"/>
    <w:rsid w:val="3AE27603"/>
    <w:rsid w:val="3AE96BE3"/>
    <w:rsid w:val="3AEC0481"/>
    <w:rsid w:val="3AEE244B"/>
    <w:rsid w:val="3AF31810"/>
    <w:rsid w:val="3AF86E26"/>
    <w:rsid w:val="3AFF6407"/>
    <w:rsid w:val="3B0D21A6"/>
    <w:rsid w:val="3B140056"/>
    <w:rsid w:val="3B2F036E"/>
    <w:rsid w:val="3B331C0C"/>
    <w:rsid w:val="3B343BD6"/>
    <w:rsid w:val="3B407AAA"/>
    <w:rsid w:val="3B4A33FA"/>
    <w:rsid w:val="3B5B73B5"/>
    <w:rsid w:val="3B6B3A9C"/>
    <w:rsid w:val="3B6C15C2"/>
    <w:rsid w:val="3B7458BE"/>
    <w:rsid w:val="3B783FFC"/>
    <w:rsid w:val="3B7B1805"/>
    <w:rsid w:val="3B7F12F6"/>
    <w:rsid w:val="3B893F22"/>
    <w:rsid w:val="3B895CD0"/>
    <w:rsid w:val="3B8F05BF"/>
    <w:rsid w:val="3B912DD7"/>
    <w:rsid w:val="3B940540"/>
    <w:rsid w:val="3B9D37AE"/>
    <w:rsid w:val="3BA64AD4"/>
    <w:rsid w:val="3BAB3E99"/>
    <w:rsid w:val="3BB5271A"/>
    <w:rsid w:val="3BB865B6"/>
    <w:rsid w:val="3BBB7E54"/>
    <w:rsid w:val="3BCF6974"/>
    <w:rsid w:val="3BD63623"/>
    <w:rsid w:val="3BD80A06"/>
    <w:rsid w:val="3BDC22A4"/>
    <w:rsid w:val="3BE23632"/>
    <w:rsid w:val="3BE64ED1"/>
    <w:rsid w:val="3BF27D19"/>
    <w:rsid w:val="3BF910A8"/>
    <w:rsid w:val="3C0435A9"/>
    <w:rsid w:val="3C0D6901"/>
    <w:rsid w:val="3C1C4D96"/>
    <w:rsid w:val="3C261771"/>
    <w:rsid w:val="3C2E0626"/>
    <w:rsid w:val="3C3F2833"/>
    <w:rsid w:val="3C4147FD"/>
    <w:rsid w:val="3C4340D1"/>
    <w:rsid w:val="3C5E0F0B"/>
    <w:rsid w:val="3C6E65A7"/>
    <w:rsid w:val="3C706E90"/>
    <w:rsid w:val="3C7626F9"/>
    <w:rsid w:val="3C771FCD"/>
    <w:rsid w:val="3C7C5835"/>
    <w:rsid w:val="3C7C75E3"/>
    <w:rsid w:val="3C885F88"/>
    <w:rsid w:val="3C8D359E"/>
    <w:rsid w:val="3C95674D"/>
    <w:rsid w:val="3C9568F7"/>
    <w:rsid w:val="3C9963E7"/>
    <w:rsid w:val="3CAB1C76"/>
    <w:rsid w:val="3CB23005"/>
    <w:rsid w:val="3CB7686D"/>
    <w:rsid w:val="3CBC20D5"/>
    <w:rsid w:val="3CC05722"/>
    <w:rsid w:val="3CC72F54"/>
    <w:rsid w:val="3CCD6091"/>
    <w:rsid w:val="3CE138EA"/>
    <w:rsid w:val="3CE60F00"/>
    <w:rsid w:val="3CED52B1"/>
    <w:rsid w:val="3CEF24AB"/>
    <w:rsid w:val="3CEF4259"/>
    <w:rsid w:val="3CFA6523"/>
    <w:rsid w:val="3CFB7D13"/>
    <w:rsid w:val="3D015D3A"/>
    <w:rsid w:val="3D0A4BEF"/>
    <w:rsid w:val="3D0F0457"/>
    <w:rsid w:val="3D0F48FB"/>
    <w:rsid w:val="3D141F11"/>
    <w:rsid w:val="3D145A6E"/>
    <w:rsid w:val="3D1B504E"/>
    <w:rsid w:val="3D1E069A"/>
    <w:rsid w:val="3D245F63"/>
    <w:rsid w:val="3D257C7B"/>
    <w:rsid w:val="3D2739F3"/>
    <w:rsid w:val="3D281519"/>
    <w:rsid w:val="3D2A5291"/>
    <w:rsid w:val="3D2C2DB7"/>
    <w:rsid w:val="3D3305EA"/>
    <w:rsid w:val="3D332398"/>
    <w:rsid w:val="3D37175C"/>
    <w:rsid w:val="3D3D6D72"/>
    <w:rsid w:val="3D416883"/>
    <w:rsid w:val="3D430101"/>
    <w:rsid w:val="3D487A1B"/>
    <w:rsid w:val="3D566086"/>
    <w:rsid w:val="3D5D11C3"/>
    <w:rsid w:val="3D5D7415"/>
    <w:rsid w:val="3D63193E"/>
    <w:rsid w:val="3D65451B"/>
    <w:rsid w:val="3D695DB9"/>
    <w:rsid w:val="3D712EC0"/>
    <w:rsid w:val="3D74650C"/>
    <w:rsid w:val="3D766728"/>
    <w:rsid w:val="3D785FFC"/>
    <w:rsid w:val="3D7E738B"/>
    <w:rsid w:val="3D7F55DD"/>
    <w:rsid w:val="3D8250CD"/>
    <w:rsid w:val="3D8E3A72"/>
    <w:rsid w:val="3D954E00"/>
    <w:rsid w:val="3D956BAE"/>
    <w:rsid w:val="3D960B78"/>
    <w:rsid w:val="3D9E0B83"/>
    <w:rsid w:val="3DA05553"/>
    <w:rsid w:val="3DB50FFF"/>
    <w:rsid w:val="3DBA4867"/>
    <w:rsid w:val="3DBD6105"/>
    <w:rsid w:val="3DC45ABA"/>
    <w:rsid w:val="3DD20A5B"/>
    <w:rsid w:val="3DD82F3F"/>
    <w:rsid w:val="3DD86A9B"/>
    <w:rsid w:val="3DDB6036"/>
    <w:rsid w:val="3DDC47DD"/>
    <w:rsid w:val="3DE73182"/>
    <w:rsid w:val="3DE74F30"/>
    <w:rsid w:val="3DE77F8E"/>
    <w:rsid w:val="3DF8538F"/>
    <w:rsid w:val="3E012496"/>
    <w:rsid w:val="3E116551"/>
    <w:rsid w:val="3E126451"/>
    <w:rsid w:val="3E133F77"/>
    <w:rsid w:val="3E1D0952"/>
    <w:rsid w:val="3E1D6BA4"/>
    <w:rsid w:val="3E237811"/>
    <w:rsid w:val="3E2717D1"/>
    <w:rsid w:val="3E2E7003"/>
    <w:rsid w:val="3E3C3120"/>
    <w:rsid w:val="3E4405D4"/>
    <w:rsid w:val="3E491747"/>
    <w:rsid w:val="3E4C7D90"/>
    <w:rsid w:val="3E4D7489"/>
    <w:rsid w:val="3E554590"/>
    <w:rsid w:val="3E6A003B"/>
    <w:rsid w:val="3E6B4441"/>
    <w:rsid w:val="3E6B5B61"/>
    <w:rsid w:val="3E6E11AD"/>
    <w:rsid w:val="3E726EF0"/>
    <w:rsid w:val="3E742C68"/>
    <w:rsid w:val="3E7E5894"/>
    <w:rsid w:val="3E863D64"/>
    <w:rsid w:val="3E8751F4"/>
    <w:rsid w:val="3E8B79F1"/>
    <w:rsid w:val="3E921340"/>
    <w:rsid w:val="3E927592"/>
    <w:rsid w:val="3E950E30"/>
    <w:rsid w:val="3E9B4698"/>
    <w:rsid w:val="3EA177D5"/>
    <w:rsid w:val="3EA846BF"/>
    <w:rsid w:val="3EA90437"/>
    <w:rsid w:val="3EAB2402"/>
    <w:rsid w:val="3EB34A78"/>
    <w:rsid w:val="3EB81B72"/>
    <w:rsid w:val="3EC040FF"/>
    <w:rsid w:val="3EC3599D"/>
    <w:rsid w:val="3EC55271"/>
    <w:rsid w:val="3EC6723B"/>
    <w:rsid w:val="3EC86B10"/>
    <w:rsid w:val="3ECA0ADA"/>
    <w:rsid w:val="3ED37BB2"/>
    <w:rsid w:val="3ED74FA5"/>
    <w:rsid w:val="3ED90D1D"/>
    <w:rsid w:val="3EE47DBF"/>
    <w:rsid w:val="3EED47C8"/>
    <w:rsid w:val="3EF67B21"/>
    <w:rsid w:val="3EF92944"/>
    <w:rsid w:val="3F051B12"/>
    <w:rsid w:val="3F055FB6"/>
    <w:rsid w:val="3F067638"/>
    <w:rsid w:val="3F122481"/>
    <w:rsid w:val="3F173E34"/>
    <w:rsid w:val="3F1C6E5B"/>
    <w:rsid w:val="3F204B9E"/>
    <w:rsid w:val="3F253F62"/>
    <w:rsid w:val="3F2C52F0"/>
    <w:rsid w:val="3F4168C2"/>
    <w:rsid w:val="3F47212A"/>
    <w:rsid w:val="3F47391D"/>
    <w:rsid w:val="3F4C7741"/>
    <w:rsid w:val="3F5605BF"/>
    <w:rsid w:val="3F56236D"/>
    <w:rsid w:val="3F584337"/>
    <w:rsid w:val="3F5860E5"/>
    <w:rsid w:val="3F5900B0"/>
    <w:rsid w:val="3F656A54"/>
    <w:rsid w:val="3F6C1B91"/>
    <w:rsid w:val="3F6E1604"/>
    <w:rsid w:val="3F6E3B5B"/>
    <w:rsid w:val="3F7925CF"/>
    <w:rsid w:val="3F812584"/>
    <w:rsid w:val="3F850EA5"/>
    <w:rsid w:val="3F8844F1"/>
    <w:rsid w:val="3F9115F7"/>
    <w:rsid w:val="3F9410E8"/>
    <w:rsid w:val="3F9B2F92"/>
    <w:rsid w:val="3FA00415"/>
    <w:rsid w:val="3FA0183A"/>
    <w:rsid w:val="3FA07A8C"/>
    <w:rsid w:val="3FBD23EC"/>
    <w:rsid w:val="3FC45529"/>
    <w:rsid w:val="3FC76DC7"/>
    <w:rsid w:val="3FD249E5"/>
    <w:rsid w:val="3FE200A5"/>
    <w:rsid w:val="3FE931E1"/>
    <w:rsid w:val="3FFA3A46"/>
    <w:rsid w:val="3FFA53EF"/>
    <w:rsid w:val="3FFD6C8D"/>
    <w:rsid w:val="3FFF0C57"/>
    <w:rsid w:val="400224F5"/>
    <w:rsid w:val="40026051"/>
    <w:rsid w:val="400341B0"/>
    <w:rsid w:val="4013025E"/>
    <w:rsid w:val="4013200C"/>
    <w:rsid w:val="4016588C"/>
    <w:rsid w:val="4017006A"/>
    <w:rsid w:val="401A783F"/>
    <w:rsid w:val="40220CFB"/>
    <w:rsid w:val="4024421A"/>
    <w:rsid w:val="402B1A4C"/>
    <w:rsid w:val="403501D5"/>
    <w:rsid w:val="403A1C8F"/>
    <w:rsid w:val="40464190"/>
    <w:rsid w:val="40491ED2"/>
    <w:rsid w:val="404926A2"/>
    <w:rsid w:val="40493C80"/>
    <w:rsid w:val="405368AD"/>
    <w:rsid w:val="4061546E"/>
    <w:rsid w:val="40662A84"/>
    <w:rsid w:val="40681530"/>
    <w:rsid w:val="40694322"/>
    <w:rsid w:val="406B009A"/>
    <w:rsid w:val="406E36E7"/>
    <w:rsid w:val="40714F85"/>
    <w:rsid w:val="407231D7"/>
    <w:rsid w:val="4075369B"/>
    <w:rsid w:val="40786454"/>
    <w:rsid w:val="40866C82"/>
    <w:rsid w:val="408D14D1"/>
    <w:rsid w:val="40980764"/>
    <w:rsid w:val="409969B6"/>
    <w:rsid w:val="409B67FC"/>
    <w:rsid w:val="409B6CE3"/>
    <w:rsid w:val="40A315E2"/>
    <w:rsid w:val="40AB66E9"/>
    <w:rsid w:val="40B362AD"/>
    <w:rsid w:val="40B41A41"/>
    <w:rsid w:val="40B732E0"/>
    <w:rsid w:val="40B82BB4"/>
    <w:rsid w:val="40BA4B7E"/>
    <w:rsid w:val="40C31C84"/>
    <w:rsid w:val="40C33A32"/>
    <w:rsid w:val="40C348FC"/>
    <w:rsid w:val="40C96B6F"/>
    <w:rsid w:val="40CF687B"/>
    <w:rsid w:val="40D519B8"/>
    <w:rsid w:val="40D914A8"/>
    <w:rsid w:val="40DE0ED4"/>
    <w:rsid w:val="40E340D5"/>
    <w:rsid w:val="40E85247"/>
    <w:rsid w:val="40EF6013"/>
    <w:rsid w:val="40F24318"/>
    <w:rsid w:val="40FA5EA0"/>
    <w:rsid w:val="40FD28FD"/>
    <w:rsid w:val="41057A78"/>
    <w:rsid w:val="410B7187"/>
    <w:rsid w:val="410D4CAE"/>
    <w:rsid w:val="41196DAF"/>
    <w:rsid w:val="411A73CB"/>
    <w:rsid w:val="411E510D"/>
    <w:rsid w:val="41230975"/>
    <w:rsid w:val="41270465"/>
    <w:rsid w:val="41281AE7"/>
    <w:rsid w:val="41287D39"/>
    <w:rsid w:val="413D1071"/>
    <w:rsid w:val="41432DC5"/>
    <w:rsid w:val="414A7CB0"/>
    <w:rsid w:val="414D77A0"/>
    <w:rsid w:val="414F52C6"/>
    <w:rsid w:val="41517290"/>
    <w:rsid w:val="41546D80"/>
    <w:rsid w:val="41601281"/>
    <w:rsid w:val="416074D3"/>
    <w:rsid w:val="41637E69"/>
    <w:rsid w:val="416E2819"/>
    <w:rsid w:val="4171348E"/>
    <w:rsid w:val="41801923"/>
    <w:rsid w:val="4182744A"/>
    <w:rsid w:val="41831414"/>
    <w:rsid w:val="41894C7C"/>
    <w:rsid w:val="418A09F4"/>
    <w:rsid w:val="41923405"/>
    <w:rsid w:val="419378A9"/>
    <w:rsid w:val="41A03D74"/>
    <w:rsid w:val="41A05B22"/>
    <w:rsid w:val="41A326BF"/>
    <w:rsid w:val="41A55BC2"/>
    <w:rsid w:val="41A82C28"/>
    <w:rsid w:val="41AB652E"/>
    <w:rsid w:val="41B17D2F"/>
    <w:rsid w:val="41B63597"/>
    <w:rsid w:val="41BA7ECF"/>
    <w:rsid w:val="41BD2B78"/>
    <w:rsid w:val="41C07F72"/>
    <w:rsid w:val="41C45CB4"/>
    <w:rsid w:val="41C51A2C"/>
    <w:rsid w:val="41D46BCA"/>
    <w:rsid w:val="41D91034"/>
    <w:rsid w:val="41E55C2A"/>
    <w:rsid w:val="41E7246F"/>
    <w:rsid w:val="41EA3241"/>
    <w:rsid w:val="41EE0F83"/>
    <w:rsid w:val="41F12821"/>
    <w:rsid w:val="41FD4D22"/>
    <w:rsid w:val="42042555"/>
    <w:rsid w:val="420A3987"/>
    <w:rsid w:val="420A5691"/>
    <w:rsid w:val="420A743F"/>
    <w:rsid w:val="420C31B7"/>
    <w:rsid w:val="4214206C"/>
    <w:rsid w:val="42142D16"/>
    <w:rsid w:val="42162288"/>
    <w:rsid w:val="422624CB"/>
    <w:rsid w:val="422C270E"/>
    <w:rsid w:val="423D1B28"/>
    <w:rsid w:val="42415557"/>
    <w:rsid w:val="42497F67"/>
    <w:rsid w:val="424E5224"/>
    <w:rsid w:val="4251506E"/>
    <w:rsid w:val="425A2175"/>
    <w:rsid w:val="4269060A"/>
    <w:rsid w:val="4269685C"/>
    <w:rsid w:val="426B4382"/>
    <w:rsid w:val="426E4AEA"/>
    <w:rsid w:val="428216CB"/>
    <w:rsid w:val="42844ECA"/>
    <w:rsid w:val="42885B2E"/>
    <w:rsid w:val="4292190E"/>
    <w:rsid w:val="42927B60"/>
    <w:rsid w:val="42984A4B"/>
    <w:rsid w:val="42992FAA"/>
    <w:rsid w:val="429A07C3"/>
    <w:rsid w:val="429F227D"/>
    <w:rsid w:val="429F5DD9"/>
    <w:rsid w:val="42B775C7"/>
    <w:rsid w:val="42B831AD"/>
    <w:rsid w:val="42BC2E2F"/>
    <w:rsid w:val="42C910A8"/>
    <w:rsid w:val="42CF2B62"/>
    <w:rsid w:val="42D75573"/>
    <w:rsid w:val="42DE2DA6"/>
    <w:rsid w:val="42E83C24"/>
    <w:rsid w:val="42FC322C"/>
    <w:rsid w:val="430345BA"/>
    <w:rsid w:val="43036368"/>
    <w:rsid w:val="43100BFB"/>
    <w:rsid w:val="431810BA"/>
    <w:rsid w:val="432D09BF"/>
    <w:rsid w:val="43357305"/>
    <w:rsid w:val="433C187A"/>
    <w:rsid w:val="43452E25"/>
    <w:rsid w:val="43482915"/>
    <w:rsid w:val="43566DE0"/>
    <w:rsid w:val="435B2648"/>
    <w:rsid w:val="43657023"/>
    <w:rsid w:val="436D61D4"/>
    <w:rsid w:val="436F39FE"/>
    <w:rsid w:val="43726B33"/>
    <w:rsid w:val="43741014"/>
    <w:rsid w:val="4379487C"/>
    <w:rsid w:val="43811983"/>
    <w:rsid w:val="43872E0A"/>
    <w:rsid w:val="438D353B"/>
    <w:rsid w:val="43963680"/>
    <w:rsid w:val="43A01E09"/>
    <w:rsid w:val="43A55671"/>
    <w:rsid w:val="43B34232"/>
    <w:rsid w:val="43B35FE0"/>
    <w:rsid w:val="43B835F7"/>
    <w:rsid w:val="43C401ED"/>
    <w:rsid w:val="43C7383A"/>
    <w:rsid w:val="43D16466"/>
    <w:rsid w:val="43D61CCF"/>
    <w:rsid w:val="43DE6DD5"/>
    <w:rsid w:val="43E14A9E"/>
    <w:rsid w:val="43E50164"/>
    <w:rsid w:val="43E837B0"/>
    <w:rsid w:val="43EC14F2"/>
    <w:rsid w:val="43F403A7"/>
    <w:rsid w:val="43F42155"/>
    <w:rsid w:val="43F81C45"/>
    <w:rsid w:val="43FD725B"/>
    <w:rsid w:val="43FE2FD4"/>
    <w:rsid w:val="440A1978"/>
    <w:rsid w:val="44114AB5"/>
    <w:rsid w:val="44184095"/>
    <w:rsid w:val="441E07E9"/>
    <w:rsid w:val="4423117E"/>
    <w:rsid w:val="44240C8C"/>
    <w:rsid w:val="4427252A"/>
    <w:rsid w:val="44315157"/>
    <w:rsid w:val="44330ECF"/>
    <w:rsid w:val="443343C1"/>
    <w:rsid w:val="44354C47"/>
    <w:rsid w:val="443609BF"/>
    <w:rsid w:val="443F29A5"/>
    <w:rsid w:val="44450C02"/>
    <w:rsid w:val="44472BCC"/>
    <w:rsid w:val="44496945"/>
    <w:rsid w:val="44550E45"/>
    <w:rsid w:val="445552E9"/>
    <w:rsid w:val="445D5F4C"/>
    <w:rsid w:val="447F5EC2"/>
    <w:rsid w:val="448D4A83"/>
    <w:rsid w:val="448E25A9"/>
    <w:rsid w:val="44935E12"/>
    <w:rsid w:val="44A26055"/>
    <w:rsid w:val="44A27E03"/>
    <w:rsid w:val="44A9589D"/>
    <w:rsid w:val="44AB4F09"/>
    <w:rsid w:val="44AE67A8"/>
    <w:rsid w:val="44BA514C"/>
    <w:rsid w:val="44C52A56"/>
    <w:rsid w:val="44C71617"/>
    <w:rsid w:val="44D206E8"/>
    <w:rsid w:val="44D501D8"/>
    <w:rsid w:val="44D77AAC"/>
    <w:rsid w:val="44E64193"/>
    <w:rsid w:val="44E678A3"/>
    <w:rsid w:val="44E67DF8"/>
    <w:rsid w:val="44E87F0C"/>
    <w:rsid w:val="44ED5522"/>
    <w:rsid w:val="44F05012"/>
    <w:rsid w:val="44F93EC7"/>
    <w:rsid w:val="44FE14DD"/>
    <w:rsid w:val="45034D45"/>
    <w:rsid w:val="45124F88"/>
    <w:rsid w:val="45126D36"/>
    <w:rsid w:val="451505D5"/>
    <w:rsid w:val="45150D09"/>
    <w:rsid w:val="45154A79"/>
    <w:rsid w:val="451707F1"/>
    <w:rsid w:val="4517434D"/>
    <w:rsid w:val="451A3E3D"/>
    <w:rsid w:val="451C1963"/>
    <w:rsid w:val="451C5E07"/>
    <w:rsid w:val="451F3201"/>
    <w:rsid w:val="452B1BA6"/>
    <w:rsid w:val="453E18DA"/>
    <w:rsid w:val="454315E6"/>
    <w:rsid w:val="454669E0"/>
    <w:rsid w:val="45521829"/>
    <w:rsid w:val="45603F46"/>
    <w:rsid w:val="45605CF4"/>
    <w:rsid w:val="45617CBE"/>
    <w:rsid w:val="4565330A"/>
    <w:rsid w:val="456A0921"/>
    <w:rsid w:val="457567DE"/>
    <w:rsid w:val="457B0D80"/>
    <w:rsid w:val="457E43CC"/>
    <w:rsid w:val="458C49F6"/>
    <w:rsid w:val="45947EC1"/>
    <w:rsid w:val="45A02594"/>
    <w:rsid w:val="45AA5C90"/>
    <w:rsid w:val="45AB2CE7"/>
    <w:rsid w:val="45AB5409"/>
    <w:rsid w:val="45AD2F03"/>
    <w:rsid w:val="45B1654F"/>
    <w:rsid w:val="45B47DEE"/>
    <w:rsid w:val="45B84F62"/>
    <w:rsid w:val="45BD26DA"/>
    <w:rsid w:val="45BE2A1A"/>
    <w:rsid w:val="45C1250B"/>
    <w:rsid w:val="45CC15DB"/>
    <w:rsid w:val="45DC10F2"/>
    <w:rsid w:val="46024FFD"/>
    <w:rsid w:val="460743C1"/>
    <w:rsid w:val="4607616F"/>
    <w:rsid w:val="461054BC"/>
    <w:rsid w:val="46116FEE"/>
    <w:rsid w:val="4614088C"/>
    <w:rsid w:val="46190447"/>
    <w:rsid w:val="461C76A6"/>
    <w:rsid w:val="46205483"/>
    <w:rsid w:val="462754D9"/>
    <w:rsid w:val="46326891"/>
    <w:rsid w:val="46357180"/>
    <w:rsid w:val="46380A1F"/>
    <w:rsid w:val="463D7DE3"/>
    <w:rsid w:val="4643756D"/>
    <w:rsid w:val="464E0242"/>
    <w:rsid w:val="46503FBA"/>
    <w:rsid w:val="465869CB"/>
    <w:rsid w:val="46592743"/>
    <w:rsid w:val="465D66D7"/>
    <w:rsid w:val="465F5FAB"/>
    <w:rsid w:val="46621392"/>
    <w:rsid w:val="46690BD8"/>
    <w:rsid w:val="46712183"/>
    <w:rsid w:val="46761547"/>
    <w:rsid w:val="467632F5"/>
    <w:rsid w:val="467D17F2"/>
    <w:rsid w:val="46821C9A"/>
    <w:rsid w:val="46853538"/>
    <w:rsid w:val="46951B6B"/>
    <w:rsid w:val="46A460B4"/>
    <w:rsid w:val="46AB7443"/>
    <w:rsid w:val="46AF12BB"/>
    <w:rsid w:val="46B1432D"/>
    <w:rsid w:val="46B300A5"/>
    <w:rsid w:val="46BA1434"/>
    <w:rsid w:val="46BF2EEE"/>
    <w:rsid w:val="46C44060"/>
    <w:rsid w:val="46C6602A"/>
    <w:rsid w:val="46D63D94"/>
    <w:rsid w:val="46D85D5E"/>
    <w:rsid w:val="46DA7D28"/>
    <w:rsid w:val="46DD4053"/>
    <w:rsid w:val="46E82445"/>
    <w:rsid w:val="46EB3CE3"/>
    <w:rsid w:val="46F26E20"/>
    <w:rsid w:val="46F32B98"/>
    <w:rsid w:val="47000C3E"/>
    <w:rsid w:val="47022DDB"/>
    <w:rsid w:val="4703102D"/>
    <w:rsid w:val="47072FAE"/>
    <w:rsid w:val="470B1C8F"/>
    <w:rsid w:val="471825FE"/>
    <w:rsid w:val="471843AC"/>
    <w:rsid w:val="471A1ED2"/>
    <w:rsid w:val="471E7C15"/>
    <w:rsid w:val="472D60AA"/>
    <w:rsid w:val="473531B0"/>
    <w:rsid w:val="47431429"/>
    <w:rsid w:val="47517A7E"/>
    <w:rsid w:val="47555409"/>
    <w:rsid w:val="4762044C"/>
    <w:rsid w:val="47686D13"/>
    <w:rsid w:val="477B5067"/>
    <w:rsid w:val="477B5F15"/>
    <w:rsid w:val="477F0FEB"/>
    <w:rsid w:val="478005D2"/>
    <w:rsid w:val="47846F53"/>
    <w:rsid w:val="47854CB2"/>
    <w:rsid w:val="47947ED7"/>
    <w:rsid w:val="47977CA8"/>
    <w:rsid w:val="479C4FDD"/>
    <w:rsid w:val="479C6D8B"/>
    <w:rsid w:val="47A345BE"/>
    <w:rsid w:val="47B24801"/>
    <w:rsid w:val="47B916EB"/>
    <w:rsid w:val="47BC396C"/>
    <w:rsid w:val="47C307BC"/>
    <w:rsid w:val="47C562E2"/>
    <w:rsid w:val="47C85937"/>
    <w:rsid w:val="47CF0F0F"/>
    <w:rsid w:val="47D35949"/>
    <w:rsid w:val="47D74267"/>
    <w:rsid w:val="47D95060"/>
    <w:rsid w:val="47E32C0C"/>
    <w:rsid w:val="47E86474"/>
    <w:rsid w:val="47EA3F9B"/>
    <w:rsid w:val="47F70704"/>
    <w:rsid w:val="47F72214"/>
    <w:rsid w:val="47F92430"/>
    <w:rsid w:val="48030BB8"/>
    <w:rsid w:val="481E1E96"/>
    <w:rsid w:val="4820176A"/>
    <w:rsid w:val="482254E2"/>
    <w:rsid w:val="48237E35"/>
    <w:rsid w:val="48254FD3"/>
    <w:rsid w:val="48270D4B"/>
    <w:rsid w:val="48276F9D"/>
    <w:rsid w:val="482F19AD"/>
    <w:rsid w:val="48390A7E"/>
    <w:rsid w:val="483D056E"/>
    <w:rsid w:val="483D1D78"/>
    <w:rsid w:val="4840005F"/>
    <w:rsid w:val="48427933"/>
    <w:rsid w:val="484A67E7"/>
    <w:rsid w:val="484C255F"/>
    <w:rsid w:val="484E277B"/>
    <w:rsid w:val="48575C14"/>
    <w:rsid w:val="485853A8"/>
    <w:rsid w:val="485C2C7C"/>
    <w:rsid w:val="485E2293"/>
    <w:rsid w:val="4860425D"/>
    <w:rsid w:val="48693111"/>
    <w:rsid w:val="486C2C02"/>
    <w:rsid w:val="486E697A"/>
    <w:rsid w:val="48763A80"/>
    <w:rsid w:val="488E2B78"/>
    <w:rsid w:val="48952158"/>
    <w:rsid w:val="48965ED0"/>
    <w:rsid w:val="489A151D"/>
    <w:rsid w:val="48A24875"/>
    <w:rsid w:val="48A26623"/>
    <w:rsid w:val="48A56114"/>
    <w:rsid w:val="48A73C3A"/>
    <w:rsid w:val="48B06F92"/>
    <w:rsid w:val="48B63E7D"/>
    <w:rsid w:val="48B85E47"/>
    <w:rsid w:val="48C06AA9"/>
    <w:rsid w:val="48CB5B7A"/>
    <w:rsid w:val="48CC544E"/>
    <w:rsid w:val="48CE52B4"/>
    <w:rsid w:val="48CE566A"/>
    <w:rsid w:val="48D10EFC"/>
    <w:rsid w:val="48D34571"/>
    <w:rsid w:val="48D83DF3"/>
    <w:rsid w:val="48DF1625"/>
    <w:rsid w:val="48E73530"/>
    <w:rsid w:val="48E94AFB"/>
    <w:rsid w:val="48EB1D78"/>
    <w:rsid w:val="48F84495"/>
    <w:rsid w:val="48FB5D34"/>
    <w:rsid w:val="48FB6EA2"/>
    <w:rsid w:val="4900334A"/>
    <w:rsid w:val="490270C2"/>
    <w:rsid w:val="4904108C"/>
    <w:rsid w:val="49042E3A"/>
    <w:rsid w:val="490E3CB9"/>
    <w:rsid w:val="49153299"/>
    <w:rsid w:val="492434DC"/>
    <w:rsid w:val="49331971"/>
    <w:rsid w:val="493354CD"/>
    <w:rsid w:val="493A4AAE"/>
    <w:rsid w:val="494E1529"/>
    <w:rsid w:val="4953791E"/>
    <w:rsid w:val="49553696"/>
    <w:rsid w:val="49555C0D"/>
    <w:rsid w:val="495A0CAC"/>
    <w:rsid w:val="4965328F"/>
    <w:rsid w:val="496B110B"/>
    <w:rsid w:val="496B4C67"/>
    <w:rsid w:val="49724248"/>
    <w:rsid w:val="4972502B"/>
    <w:rsid w:val="4974600A"/>
    <w:rsid w:val="49793828"/>
    <w:rsid w:val="49845D29"/>
    <w:rsid w:val="49865F45"/>
    <w:rsid w:val="49895C9C"/>
    <w:rsid w:val="49902920"/>
    <w:rsid w:val="49914165"/>
    <w:rsid w:val="499A379E"/>
    <w:rsid w:val="49A23B29"/>
    <w:rsid w:val="49A40179"/>
    <w:rsid w:val="49A62143"/>
    <w:rsid w:val="49A8107D"/>
    <w:rsid w:val="49B74350"/>
    <w:rsid w:val="49BC3715"/>
    <w:rsid w:val="49C07952"/>
    <w:rsid w:val="49C34AA3"/>
    <w:rsid w:val="49C425C9"/>
    <w:rsid w:val="49C8030C"/>
    <w:rsid w:val="49CB1BAA"/>
    <w:rsid w:val="49CC7DFC"/>
    <w:rsid w:val="49CD76D0"/>
    <w:rsid w:val="49D24CE6"/>
    <w:rsid w:val="49D97612"/>
    <w:rsid w:val="49DC7913"/>
    <w:rsid w:val="49E26988"/>
    <w:rsid w:val="49F50348"/>
    <w:rsid w:val="49F70BF1"/>
    <w:rsid w:val="49FB248F"/>
    <w:rsid w:val="49FB423D"/>
    <w:rsid w:val="49FC1D63"/>
    <w:rsid w:val="4A007AA5"/>
    <w:rsid w:val="4A0550BC"/>
    <w:rsid w:val="4A070E34"/>
    <w:rsid w:val="4A0A0B98"/>
    <w:rsid w:val="4A0F1A96"/>
    <w:rsid w:val="4A0F7CE8"/>
    <w:rsid w:val="4A161077"/>
    <w:rsid w:val="4A1946C3"/>
    <w:rsid w:val="4A1E617D"/>
    <w:rsid w:val="4A271437"/>
    <w:rsid w:val="4A38723F"/>
    <w:rsid w:val="4A443E36"/>
    <w:rsid w:val="4A45195C"/>
    <w:rsid w:val="4A45370A"/>
    <w:rsid w:val="4A477482"/>
    <w:rsid w:val="4A4A0D21"/>
    <w:rsid w:val="4A4D25BF"/>
    <w:rsid w:val="4A514A58"/>
    <w:rsid w:val="4A58168F"/>
    <w:rsid w:val="4A5C2802"/>
    <w:rsid w:val="4A677B24"/>
    <w:rsid w:val="4A722025"/>
    <w:rsid w:val="4A7B712C"/>
    <w:rsid w:val="4A7D10F6"/>
    <w:rsid w:val="4A7F32D6"/>
    <w:rsid w:val="4A823BDD"/>
    <w:rsid w:val="4A897A9B"/>
    <w:rsid w:val="4A8C66C9"/>
    <w:rsid w:val="4A946440"/>
    <w:rsid w:val="4A954692"/>
    <w:rsid w:val="4A963F66"/>
    <w:rsid w:val="4A965D14"/>
    <w:rsid w:val="4A981E6D"/>
    <w:rsid w:val="4AA85A47"/>
    <w:rsid w:val="4AAD305D"/>
    <w:rsid w:val="4AB80380"/>
    <w:rsid w:val="4AB81212"/>
    <w:rsid w:val="4AB83EDC"/>
    <w:rsid w:val="4ABF0CE0"/>
    <w:rsid w:val="4AC05487"/>
    <w:rsid w:val="4AC62A9D"/>
    <w:rsid w:val="4AC7411F"/>
    <w:rsid w:val="4AD8457E"/>
    <w:rsid w:val="4AE42F23"/>
    <w:rsid w:val="4AEA6060"/>
    <w:rsid w:val="4AEE3DA2"/>
    <w:rsid w:val="4B0B6702"/>
    <w:rsid w:val="4B0C5FD6"/>
    <w:rsid w:val="4B1C090F"/>
    <w:rsid w:val="4B1D01E3"/>
    <w:rsid w:val="4B1F03FF"/>
    <w:rsid w:val="4B2772B4"/>
    <w:rsid w:val="4B313C65"/>
    <w:rsid w:val="4B3C4B0D"/>
    <w:rsid w:val="4B3D2633"/>
    <w:rsid w:val="4B3E7974"/>
    <w:rsid w:val="4B475260"/>
    <w:rsid w:val="4B481704"/>
    <w:rsid w:val="4B4B0AD1"/>
    <w:rsid w:val="4B4E7A9D"/>
    <w:rsid w:val="4B661B8A"/>
    <w:rsid w:val="4B683B54"/>
    <w:rsid w:val="4B726781"/>
    <w:rsid w:val="4B7A73E4"/>
    <w:rsid w:val="4B7D6ED4"/>
    <w:rsid w:val="4B83098E"/>
    <w:rsid w:val="4B840262"/>
    <w:rsid w:val="4B911361"/>
    <w:rsid w:val="4B95421D"/>
    <w:rsid w:val="4B983D0E"/>
    <w:rsid w:val="4BA3693A"/>
    <w:rsid w:val="4BA6467C"/>
    <w:rsid w:val="4BA803F5"/>
    <w:rsid w:val="4BB01057"/>
    <w:rsid w:val="4BB70638"/>
    <w:rsid w:val="4BB74FCE"/>
    <w:rsid w:val="4BC92119"/>
    <w:rsid w:val="4BCD7060"/>
    <w:rsid w:val="4BD44D46"/>
    <w:rsid w:val="4BD765E4"/>
    <w:rsid w:val="4BDA60D4"/>
    <w:rsid w:val="4BE3142D"/>
    <w:rsid w:val="4BE8259F"/>
    <w:rsid w:val="4BE87E41"/>
    <w:rsid w:val="4BF058F8"/>
    <w:rsid w:val="4BF2341E"/>
    <w:rsid w:val="4BF55C09"/>
    <w:rsid w:val="4BF70A34"/>
    <w:rsid w:val="4BF74ED8"/>
    <w:rsid w:val="4BFB233E"/>
    <w:rsid w:val="4BFE0015"/>
    <w:rsid w:val="4BFF5B3B"/>
    <w:rsid w:val="4C082C41"/>
    <w:rsid w:val="4C107D48"/>
    <w:rsid w:val="4C115F9A"/>
    <w:rsid w:val="4C153141"/>
    <w:rsid w:val="4C1710D6"/>
    <w:rsid w:val="4C177328"/>
    <w:rsid w:val="4C213D03"/>
    <w:rsid w:val="4C2869FC"/>
    <w:rsid w:val="4C2B6930"/>
    <w:rsid w:val="4C2D26A8"/>
    <w:rsid w:val="4C2F01CE"/>
    <w:rsid w:val="4C312198"/>
    <w:rsid w:val="4C365A00"/>
    <w:rsid w:val="4C392DFB"/>
    <w:rsid w:val="4C3E7250"/>
    <w:rsid w:val="4C417F01"/>
    <w:rsid w:val="4C453E95"/>
    <w:rsid w:val="4C4A5008"/>
    <w:rsid w:val="4C4D4AF8"/>
    <w:rsid w:val="4C4F0870"/>
    <w:rsid w:val="4C51283A"/>
    <w:rsid w:val="4C602A7D"/>
    <w:rsid w:val="4C626F9D"/>
    <w:rsid w:val="4C6C320D"/>
    <w:rsid w:val="4C765286"/>
    <w:rsid w:val="4C7C7DDD"/>
    <w:rsid w:val="4C7E1155"/>
    <w:rsid w:val="4C885B30"/>
    <w:rsid w:val="4C9149E5"/>
    <w:rsid w:val="4CA72B06"/>
    <w:rsid w:val="4CAD5597"/>
    <w:rsid w:val="4CAE1A3B"/>
    <w:rsid w:val="4CAF7561"/>
    <w:rsid w:val="4CB15087"/>
    <w:rsid w:val="4CB701C3"/>
    <w:rsid w:val="4CBE77A4"/>
    <w:rsid w:val="4CC254E6"/>
    <w:rsid w:val="4CCC0113"/>
    <w:rsid w:val="4CCF5067"/>
    <w:rsid w:val="4CD55219"/>
    <w:rsid w:val="4CD86AB8"/>
    <w:rsid w:val="4CE4545C"/>
    <w:rsid w:val="4CE52F83"/>
    <w:rsid w:val="4CE54D31"/>
    <w:rsid w:val="4CEE62DB"/>
    <w:rsid w:val="4CF65190"/>
    <w:rsid w:val="4CF907DC"/>
    <w:rsid w:val="4CFC76C9"/>
    <w:rsid w:val="4D01600E"/>
    <w:rsid w:val="4D027691"/>
    <w:rsid w:val="4D090A1F"/>
    <w:rsid w:val="4D0F1DAD"/>
    <w:rsid w:val="4D13189E"/>
    <w:rsid w:val="4D1473C4"/>
    <w:rsid w:val="4D1A0E7E"/>
    <w:rsid w:val="4D275349"/>
    <w:rsid w:val="4D2821B0"/>
    <w:rsid w:val="4D2866E2"/>
    <w:rsid w:val="4D297313"/>
    <w:rsid w:val="4D304C6C"/>
    <w:rsid w:val="4D3637DE"/>
    <w:rsid w:val="4D39488E"/>
    <w:rsid w:val="4D3B4205"/>
    <w:rsid w:val="4D435B1A"/>
    <w:rsid w:val="4D471250"/>
    <w:rsid w:val="4D4B7289"/>
    <w:rsid w:val="4D502AF2"/>
    <w:rsid w:val="4D584EBA"/>
    <w:rsid w:val="4D602609"/>
    <w:rsid w:val="4D662315"/>
    <w:rsid w:val="4D6C7200"/>
    <w:rsid w:val="4D700A9E"/>
    <w:rsid w:val="4D7A36CB"/>
    <w:rsid w:val="4D7F5185"/>
    <w:rsid w:val="4D8B3376"/>
    <w:rsid w:val="4D8B58D8"/>
    <w:rsid w:val="4D8C33FE"/>
    <w:rsid w:val="4D901140"/>
    <w:rsid w:val="4D956757"/>
    <w:rsid w:val="4D987FF5"/>
    <w:rsid w:val="4D9A3D6D"/>
    <w:rsid w:val="4D9C2D96"/>
    <w:rsid w:val="4DA42E3E"/>
    <w:rsid w:val="4DA92202"/>
    <w:rsid w:val="4DAC3CBF"/>
    <w:rsid w:val="4DB34E2F"/>
    <w:rsid w:val="4DB56DF9"/>
    <w:rsid w:val="4DBA440F"/>
    <w:rsid w:val="4DBE1A47"/>
    <w:rsid w:val="4DC40DEA"/>
    <w:rsid w:val="4DC82688"/>
    <w:rsid w:val="4DD31486"/>
    <w:rsid w:val="4DD6556C"/>
    <w:rsid w:val="4DD94895"/>
    <w:rsid w:val="4DE17BEE"/>
    <w:rsid w:val="4DE714C9"/>
    <w:rsid w:val="4DEA274E"/>
    <w:rsid w:val="4DED6593"/>
    <w:rsid w:val="4E0B4C6B"/>
    <w:rsid w:val="4E251762"/>
    <w:rsid w:val="4E265601"/>
    <w:rsid w:val="4E347D1E"/>
    <w:rsid w:val="4E3C4E24"/>
    <w:rsid w:val="4E3E6DEE"/>
    <w:rsid w:val="4E4453FC"/>
    <w:rsid w:val="4E4B5067"/>
    <w:rsid w:val="4E597784"/>
    <w:rsid w:val="4E5B22A2"/>
    <w:rsid w:val="4E5E4D9B"/>
    <w:rsid w:val="4E612ADD"/>
    <w:rsid w:val="4E68661A"/>
    <w:rsid w:val="4E791BD4"/>
    <w:rsid w:val="4E7C4D73"/>
    <w:rsid w:val="4E7D7917"/>
    <w:rsid w:val="4E8D31A4"/>
    <w:rsid w:val="4E9E5ADF"/>
    <w:rsid w:val="4EA12ED9"/>
    <w:rsid w:val="4EA50C1B"/>
    <w:rsid w:val="4EA8070C"/>
    <w:rsid w:val="4EAD187E"/>
    <w:rsid w:val="4EAD5D22"/>
    <w:rsid w:val="4EBE56A0"/>
    <w:rsid w:val="4EC54E1A"/>
    <w:rsid w:val="4ECC7F56"/>
    <w:rsid w:val="4ECD1F20"/>
    <w:rsid w:val="4ED4064D"/>
    <w:rsid w:val="4ED65279"/>
    <w:rsid w:val="4ED82D9F"/>
    <w:rsid w:val="4EDE43AE"/>
    <w:rsid w:val="4EE5084A"/>
    <w:rsid w:val="4EEC23A6"/>
    <w:rsid w:val="4EEC7F74"/>
    <w:rsid w:val="4EF05CBF"/>
    <w:rsid w:val="4EF37BD9"/>
    <w:rsid w:val="4EF61477"/>
    <w:rsid w:val="4EFB4CDF"/>
    <w:rsid w:val="4EFB6A8D"/>
    <w:rsid w:val="4EFD0A57"/>
    <w:rsid w:val="4F036A2F"/>
    <w:rsid w:val="4F0973FC"/>
    <w:rsid w:val="4F0A0A7E"/>
    <w:rsid w:val="4F0C0C9A"/>
    <w:rsid w:val="4F11005F"/>
    <w:rsid w:val="4F111E0D"/>
    <w:rsid w:val="4F133DD7"/>
    <w:rsid w:val="4F231B40"/>
    <w:rsid w:val="4F2935FA"/>
    <w:rsid w:val="4F381A8F"/>
    <w:rsid w:val="4F3D2C02"/>
    <w:rsid w:val="4F440434"/>
    <w:rsid w:val="4F4421E2"/>
    <w:rsid w:val="4F4F0B87"/>
    <w:rsid w:val="4F506DD9"/>
    <w:rsid w:val="4F533E4B"/>
    <w:rsid w:val="4F5E6588"/>
    <w:rsid w:val="4F613E7F"/>
    <w:rsid w:val="4F691C49"/>
    <w:rsid w:val="4F697E9B"/>
    <w:rsid w:val="4F6A776F"/>
    <w:rsid w:val="4F7B372A"/>
    <w:rsid w:val="4F7C7BCE"/>
    <w:rsid w:val="4F7D3946"/>
    <w:rsid w:val="4F860A4D"/>
    <w:rsid w:val="4F8D2D21"/>
    <w:rsid w:val="4F90367A"/>
    <w:rsid w:val="4F905428"/>
    <w:rsid w:val="4FA113E3"/>
    <w:rsid w:val="4FAB2261"/>
    <w:rsid w:val="4FAD5FDA"/>
    <w:rsid w:val="4FBA06F6"/>
    <w:rsid w:val="4FBF7ABB"/>
    <w:rsid w:val="4FC155E1"/>
    <w:rsid w:val="4FCB6460"/>
    <w:rsid w:val="4FCC3F86"/>
    <w:rsid w:val="4FCD667C"/>
    <w:rsid w:val="4FE17A31"/>
    <w:rsid w:val="4FE87012"/>
    <w:rsid w:val="4FF27E90"/>
    <w:rsid w:val="4FF43C08"/>
    <w:rsid w:val="500100D3"/>
    <w:rsid w:val="500656EA"/>
    <w:rsid w:val="50067498"/>
    <w:rsid w:val="501F49FD"/>
    <w:rsid w:val="50295A8A"/>
    <w:rsid w:val="5033552D"/>
    <w:rsid w:val="503E1327"/>
    <w:rsid w:val="503E6C32"/>
    <w:rsid w:val="504B57F2"/>
    <w:rsid w:val="505C355C"/>
    <w:rsid w:val="5060304C"/>
    <w:rsid w:val="50681F00"/>
    <w:rsid w:val="506B379F"/>
    <w:rsid w:val="506E7FDD"/>
    <w:rsid w:val="506F328F"/>
    <w:rsid w:val="50792360"/>
    <w:rsid w:val="50795EBC"/>
    <w:rsid w:val="507E1724"/>
    <w:rsid w:val="507E34D2"/>
    <w:rsid w:val="507E7976"/>
    <w:rsid w:val="508825A3"/>
    <w:rsid w:val="508A631B"/>
    <w:rsid w:val="508F56DF"/>
    <w:rsid w:val="5099655E"/>
    <w:rsid w:val="509C604E"/>
    <w:rsid w:val="509E1DC6"/>
    <w:rsid w:val="50A0169A"/>
    <w:rsid w:val="50A078EC"/>
    <w:rsid w:val="50A32F39"/>
    <w:rsid w:val="50AA6D56"/>
    <w:rsid w:val="50B27620"/>
    <w:rsid w:val="50B60EBE"/>
    <w:rsid w:val="50BB0282"/>
    <w:rsid w:val="50C80BF1"/>
    <w:rsid w:val="50CF2D66"/>
    <w:rsid w:val="50D77086"/>
    <w:rsid w:val="50D91050"/>
    <w:rsid w:val="50DE0415"/>
    <w:rsid w:val="50F32112"/>
    <w:rsid w:val="50F419E6"/>
    <w:rsid w:val="5109713B"/>
    <w:rsid w:val="510F4A72"/>
    <w:rsid w:val="511D2CEB"/>
    <w:rsid w:val="511D718F"/>
    <w:rsid w:val="51254295"/>
    <w:rsid w:val="51303345"/>
    <w:rsid w:val="51361FFF"/>
    <w:rsid w:val="51453FF0"/>
    <w:rsid w:val="51491D32"/>
    <w:rsid w:val="51493AE0"/>
    <w:rsid w:val="515D57DD"/>
    <w:rsid w:val="51624BA2"/>
    <w:rsid w:val="5167665C"/>
    <w:rsid w:val="517454BE"/>
    <w:rsid w:val="517B5C63"/>
    <w:rsid w:val="517D5E7F"/>
    <w:rsid w:val="517D7C2E"/>
    <w:rsid w:val="51921A53"/>
    <w:rsid w:val="51932FAD"/>
    <w:rsid w:val="51A60F32"/>
    <w:rsid w:val="51AC406F"/>
    <w:rsid w:val="51B11685"/>
    <w:rsid w:val="51C23892"/>
    <w:rsid w:val="51C55131"/>
    <w:rsid w:val="51CE0D3A"/>
    <w:rsid w:val="51CF7F2C"/>
    <w:rsid w:val="51D23E35"/>
    <w:rsid w:val="51D86A29"/>
    <w:rsid w:val="51E25CE3"/>
    <w:rsid w:val="51E5194F"/>
    <w:rsid w:val="51E97071"/>
    <w:rsid w:val="51EB4B97"/>
    <w:rsid w:val="51EB4FD5"/>
    <w:rsid w:val="51F15F26"/>
    <w:rsid w:val="51F577C4"/>
    <w:rsid w:val="51F779E0"/>
    <w:rsid w:val="51FA302C"/>
    <w:rsid w:val="5208399B"/>
    <w:rsid w:val="520D0FB1"/>
    <w:rsid w:val="52173BDE"/>
    <w:rsid w:val="52214A5D"/>
    <w:rsid w:val="52350508"/>
    <w:rsid w:val="5237602E"/>
    <w:rsid w:val="52376571"/>
    <w:rsid w:val="523A167B"/>
    <w:rsid w:val="524349D3"/>
    <w:rsid w:val="5246001F"/>
    <w:rsid w:val="524A0B1A"/>
    <w:rsid w:val="52554706"/>
    <w:rsid w:val="525766D1"/>
    <w:rsid w:val="5269712D"/>
    <w:rsid w:val="52742DDF"/>
    <w:rsid w:val="52750905"/>
    <w:rsid w:val="52860D64"/>
    <w:rsid w:val="528B637A"/>
    <w:rsid w:val="528C7934"/>
    <w:rsid w:val="529B366A"/>
    <w:rsid w:val="52A01690"/>
    <w:rsid w:val="52A4328C"/>
    <w:rsid w:val="52A5743C"/>
    <w:rsid w:val="52A7410F"/>
    <w:rsid w:val="52AB4326"/>
    <w:rsid w:val="52B47467"/>
    <w:rsid w:val="52B7716F"/>
    <w:rsid w:val="52BA27BB"/>
    <w:rsid w:val="52BC6534"/>
    <w:rsid w:val="52C04276"/>
    <w:rsid w:val="52C84ED8"/>
    <w:rsid w:val="52CA50F4"/>
    <w:rsid w:val="52E55A8A"/>
    <w:rsid w:val="52E635B0"/>
    <w:rsid w:val="52EA4E4F"/>
    <w:rsid w:val="52EC506B"/>
    <w:rsid w:val="52F201A7"/>
    <w:rsid w:val="530C1269"/>
    <w:rsid w:val="530D2D69"/>
    <w:rsid w:val="5325232B"/>
    <w:rsid w:val="532C5467"/>
    <w:rsid w:val="53395DD6"/>
    <w:rsid w:val="533B7DA0"/>
    <w:rsid w:val="534529CD"/>
    <w:rsid w:val="534851C2"/>
    <w:rsid w:val="534F55FA"/>
    <w:rsid w:val="53560736"/>
    <w:rsid w:val="53582700"/>
    <w:rsid w:val="535B5D4C"/>
    <w:rsid w:val="535F6138"/>
    <w:rsid w:val="536270DB"/>
    <w:rsid w:val="53656BCB"/>
    <w:rsid w:val="53715570"/>
    <w:rsid w:val="53746E0E"/>
    <w:rsid w:val="53794425"/>
    <w:rsid w:val="537D3FD6"/>
    <w:rsid w:val="537D5CC3"/>
    <w:rsid w:val="53803A05"/>
    <w:rsid w:val="538E1C7E"/>
    <w:rsid w:val="53973A60"/>
    <w:rsid w:val="53982AFD"/>
    <w:rsid w:val="53A771E4"/>
    <w:rsid w:val="53AC4EC8"/>
    <w:rsid w:val="53B35B89"/>
    <w:rsid w:val="53B611D5"/>
    <w:rsid w:val="53B8319F"/>
    <w:rsid w:val="53D55AFF"/>
    <w:rsid w:val="53D60357"/>
    <w:rsid w:val="53DB0C3B"/>
    <w:rsid w:val="53DD2AE1"/>
    <w:rsid w:val="53DD49B3"/>
    <w:rsid w:val="53DE5816"/>
    <w:rsid w:val="53F341D7"/>
    <w:rsid w:val="53FD0BB2"/>
    <w:rsid w:val="54020B8F"/>
    <w:rsid w:val="540463E4"/>
    <w:rsid w:val="54085ED4"/>
    <w:rsid w:val="540B32CF"/>
    <w:rsid w:val="5411465D"/>
    <w:rsid w:val="541A5C08"/>
    <w:rsid w:val="54250973"/>
    <w:rsid w:val="54300F87"/>
    <w:rsid w:val="54324CFF"/>
    <w:rsid w:val="54330F8E"/>
    <w:rsid w:val="543A0058"/>
    <w:rsid w:val="543C16DA"/>
    <w:rsid w:val="54444A33"/>
    <w:rsid w:val="54462559"/>
    <w:rsid w:val="54463329"/>
    <w:rsid w:val="54483F0B"/>
    <w:rsid w:val="544D5142"/>
    <w:rsid w:val="545033D7"/>
    <w:rsid w:val="54532EC8"/>
    <w:rsid w:val="5455279C"/>
    <w:rsid w:val="54565834"/>
    <w:rsid w:val="545863D3"/>
    <w:rsid w:val="545C0092"/>
    <w:rsid w:val="545C7FCE"/>
    <w:rsid w:val="54615005"/>
    <w:rsid w:val="54660E4D"/>
    <w:rsid w:val="54663956"/>
    <w:rsid w:val="546B1578"/>
    <w:rsid w:val="54705828"/>
    <w:rsid w:val="547C241E"/>
    <w:rsid w:val="547E7F44"/>
    <w:rsid w:val="548412D3"/>
    <w:rsid w:val="5486504B"/>
    <w:rsid w:val="54994D7E"/>
    <w:rsid w:val="549A28A4"/>
    <w:rsid w:val="549A4A45"/>
    <w:rsid w:val="549F610D"/>
    <w:rsid w:val="54A45643"/>
    <w:rsid w:val="54A84FC1"/>
    <w:rsid w:val="54B24092"/>
    <w:rsid w:val="54BC6CBF"/>
    <w:rsid w:val="54C16083"/>
    <w:rsid w:val="54C65448"/>
    <w:rsid w:val="54C87412"/>
    <w:rsid w:val="54CA32EC"/>
    <w:rsid w:val="54D264E2"/>
    <w:rsid w:val="54D9161F"/>
    <w:rsid w:val="54E67898"/>
    <w:rsid w:val="54EC3ADA"/>
    <w:rsid w:val="54EF0E42"/>
    <w:rsid w:val="54F14BBA"/>
    <w:rsid w:val="55041452"/>
    <w:rsid w:val="55052414"/>
    <w:rsid w:val="55067F3A"/>
    <w:rsid w:val="55085A60"/>
    <w:rsid w:val="550B72FE"/>
    <w:rsid w:val="551408A9"/>
    <w:rsid w:val="551C150B"/>
    <w:rsid w:val="55284354"/>
    <w:rsid w:val="553B5E36"/>
    <w:rsid w:val="553E45C6"/>
    <w:rsid w:val="55480552"/>
    <w:rsid w:val="554A7E27"/>
    <w:rsid w:val="554C1DF1"/>
    <w:rsid w:val="554E3DBB"/>
    <w:rsid w:val="55524F2D"/>
    <w:rsid w:val="55562C6F"/>
    <w:rsid w:val="55572544"/>
    <w:rsid w:val="55592760"/>
    <w:rsid w:val="555D2250"/>
    <w:rsid w:val="555E38D2"/>
    <w:rsid w:val="555E7D76"/>
    <w:rsid w:val="556E620B"/>
    <w:rsid w:val="557D75A5"/>
    <w:rsid w:val="557E1065"/>
    <w:rsid w:val="55805F3E"/>
    <w:rsid w:val="55821CB6"/>
    <w:rsid w:val="55853555"/>
    <w:rsid w:val="5588094F"/>
    <w:rsid w:val="559460CF"/>
    <w:rsid w:val="559612BE"/>
    <w:rsid w:val="559D264C"/>
    <w:rsid w:val="55AE2AAB"/>
    <w:rsid w:val="55B41744"/>
    <w:rsid w:val="55B6370E"/>
    <w:rsid w:val="55B67C7E"/>
    <w:rsid w:val="55B67FB3"/>
    <w:rsid w:val="55B76847"/>
    <w:rsid w:val="55B856D8"/>
    <w:rsid w:val="55BF2853"/>
    <w:rsid w:val="55C925D4"/>
    <w:rsid w:val="55CE373A"/>
    <w:rsid w:val="55D50038"/>
    <w:rsid w:val="55E40C52"/>
    <w:rsid w:val="55EA33B8"/>
    <w:rsid w:val="55F3226C"/>
    <w:rsid w:val="56075D18"/>
    <w:rsid w:val="561548D9"/>
    <w:rsid w:val="5621327D"/>
    <w:rsid w:val="562543F0"/>
    <w:rsid w:val="56293EE0"/>
    <w:rsid w:val="562E14F6"/>
    <w:rsid w:val="56354B89"/>
    <w:rsid w:val="563C00B7"/>
    <w:rsid w:val="56424FA2"/>
    <w:rsid w:val="56466840"/>
    <w:rsid w:val="565031F4"/>
    <w:rsid w:val="56551179"/>
    <w:rsid w:val="565E627F"/>
    <w:rsid w:val="5663328A"/>
    <w:rsid w:val="56633896"/>
    <w:rsid w:val="56642045"/>
    <w:rsid w:val="5664316A"/>
    <w:rsid w:val="56665134"/>
    <w:rsid w:val="566805CE"/>
    <w:rsid w:val="566D0271"/>
    <w:rsid w:val="567A0BDF"/>
    <w:rsid w:val="56812004"/>
    <w:rsid w:val="56890E23"/>
    <w:rsid w:val="568A4D68"/>
    <w:rsid w:val="568E5D67"/>
    <w:rsid w:val="5697709C"/>
    <w:rsid w:val="56985463"/>
    <w:rsid w:val="569C0B56"/>
    <w:rsid w:val="56A30136"/>
    <w:rsid w:val="56A45C5C"/>
    <w:rsid w:val="56BA722E"/>
    <w:rsid w:val="56BC6B02"/>
    <w:rsid w:val="56C02A96"/>
    <w:rsid w:val="56C15908"/>
    <w:rsid w:val="56C61228"/>
    <w:rsid w:val="56CB143B"/>
    <w:rsid w:val="56D007FF"/>
    <w:rsid w:val="56D71B8E"/>
    <w:rsid w:val="56E147BB"/>
    <w:rsid w:val="56EA18C1"/>
    <w:rsid w:val="56EA7B13"/>
    <w:rsid w:val="56EF6ED8"/>
    <w:rsid w:val="56F269C8"/>
    <w:rsid w:val="56F37A63"/>
    <w:rsid w:val="57034E36"/>
    <w:rsid w:val="570404A9"/>
    <w:rsid w:val="570D55B0"/>
    <w:rsid w:val="571B7CCD"/>
    <w:rsid w:val="571E77BD"/>
    <w:rsid w:val="57201787"/>
    <w:rsid w:val="57272B15"/>
    <w:rsid w:val="573256C1"/>
    <w:rsid w:val="57376AD1"/>
    <w:rsid w:val="573945F7"/>
    <w:rsid w:val="573C5E95"/>
    <w:rsid w:val="57452F9B"/>
    <w:rsid w:val="57455939"/>
    <w:rsid w:val="574714D9"/>
    <w:rsid w:val="574865E8"/>
    <w:rsid w:val="57511940"/>
    <w:rsid w:val="57517B92"/>
    <w:rsid w:val="57527466"/>
    <w:rsid w:val="57566F57"/>
    <w:rsid w:val="575925A3"/>
    <w:rsid w:val="576D42A0"/>
    <w:rsid w:val="5774562F"/>
    <w:rsid w:val="577613A7"/>
    <w:rsid w:val="57783371"/>
    <w:rsid w:val="57805D82"/>
    <w:rsid w:val="578515EA"/>
    <w:rsid w:val="57853398"/>
    <w:rsid w:val="578641E7"/>
    <w:rsid w:val="57872D74"/>
    <w:rsid w:val="579161E1"/>
    <w:rsid w:val="579B0E0D"/>
    <w:rsid w:val="579E08FE"/>
    <w:rsid w:val="57A71560"/>
    <w:rsid w:val="57AA1051"/>
    <w:rsid w:val="57AA72A2"/>
    <w:rsid w:val="57B123DF"/>
    <w:rsid w:val="57C15E41"/>
    <w:rsid w:val="57C24AFE"/>
    <w:rsid w:val="57CD4D3F"/>
    <w:rsid w:val="57D305A7"/>
    <w:rsid w:val="57D60097"/>
    <w:rsid w:val="57D65E2C"/>
    <w:rsid w:val="57DA7B88"/>
    <w:rsid w:val="57DB56AE"/>
    <w:rsid w:val="57DE6F4C"/>
    <w:rsid w:val="57E3660A"/>
    <w:rsid w:val="57E9601D"/>
    <w:rsid w:val="57F4051E"/>
    <w:rsid w:val="57F75A61"/>
    <w:rsid w:val="57FE314A"/>
    <w:rsid w:val="58003366"/>
    <w:rsid w:val="58070251"/>
    <w:rsid w:val="580764A3"/>
    <w:rsid w:val="580C5867"/>
    <w:rsid w:val="581E27FC"/>
    <w:rsid w:val="5822508B"/>
    <w:rsid w:val="58237526"/>
    <w:rsid w:val="58256929"/>
    <w:rsid w:val="58262DCD"/>
    <w:rsid w:val="582C415B"/>
    <w:rsid w:val="583121E4"/>
    <w:rsid w:val="58346B6C"/>
    <w:rsid w:val="583A0626"/>
    <w:rsid w:val="58405511"/>
    <w:rsid w:val="584119B5"/>
    <w:rsid w:val="584D65AC"/>
    <w:rsid w:val="58515970"/>
    <w:rsid w:val="58557962"/>
    <w:rsid w:val="58580AAD"/>
    <w:rsid w:val="585D307F"/>
    <w:rsid w:val="58694FCB"/>
    <w:rsid w:val="586B6A32"/>
    <w:rsid w:val="5870229A"/>
    <w:rsid w:val="58704048"/>
    <w:rsid w:val="587358E6"/>
    <w:rsid w:val="58782EFD"/>
    <w:rsid w:val="587D0513"/>
    <w:rsid w:val="587F6039"/>
    <w:rsid w:val="58827814"/>
    <w:rsid w:val="58831FCD"/>
    <w:rsid w:val="5886386C"/>
    <w:rsid w:val="588875E4"/>
    <w:rsid w:val="58913FBE"/>
    <w:rsid w:val="589A2E73"/>
    <w:rsid w:val="589C308F"/>
    <w:rsid w:val="589F0489"/>
    <w:rsid w:val="589F492D"/>
    <w:rsid w:val="58A3236C"/>
    <w:rsid w:val="58A837E2"/>
    <w:rsid w:val="58AE691E"/>
    <w:rsid w:val="58B33F35"/>
    <w:rsid w:val="58B55EFF"/>
    <w:rsid w:val="58B8154B"/>
    <w:rsid w:val="58C60D5F"/>
    <w:rsid w:val="58D00F8B"/>
    <w:rsid w:val="58D760D0"/>
    <w:rsid w:val="58DB3C34"/>
    <w:rsid w:val="58DE5456"/>
    <w:rsid w:val="58E3481A"/>
    <w:rsid w:val="58FA7DB6"/>
    <w:rsid w:val="58FE78A6"/>
    <w:rsid w:val="59034EBC"/>
    <w:rsid w:val="59060509"/>
    <w:rsid w:val="590824D3"/>
    <w:rsid w:val="590A55AC"/>
    <w:rsid w:val="59135D68"/>
    <w:rsid w:val="591744C4"/>
    <w:rsid w:val="5919196A"/>
    <w:rsid w:val="5919648E"/>
    <w:rsid w:val="591E3AA4"/>
    <w:rsid w:val="59292FCB"/>
    <w:rsid w:val="592B7F6F"/>
    <w:rsid w:val="59324E9A"/>
    <w:rsid w:val="594352B9"/>
    <w:rsid w:val="594D25DB"/>
    <w:rsid w:val="595079D6"/>
    <w:rsid w:val="59572DB6"/>
    <w:rsid w:val="59605E6B"/>
    <w:rsid w:val="59692CCC"/>
    <w:rsid w:val="596F2552"/>
    <w:rsid w:val="59820838"/>
    <w:rsid w:val="59872A4A"/>
    <w:rsid w:val="59875AED"/>
    <w:rsid w:val="598853C1"/>
    <w:rsid w:val="59914276"/>
    <w:rsid w:val="5996188C"/>
    <w:rsid w:val="59A0095D"/>
    <w:rsid w:val="59A541C5"/>
    <w:rsid w:val="59AC10B0"/>
    <w:rsid w:val="59B60181"/>
    <w:rsid w:val="59B77A55"/>
    <w:rsid w:val="59B937CD"/>
    <w:rsid w:val="59B9557B"/>
    <w:rsid w:val="59BE5323"/>
    <w:rsid w:val="59BE7035"/>
    <w:rsid w:val="59C04B5B"/>
    <w:rsid w:val="59C12681"/>
    <w:rsid w:val="59C40A32"/>
    <w:rsid w:val="59E20F76"/>
    <w:rsid w:val="59E545C2"/>
    <w:rsid w:val="59E940B2"/>
    <w:rsid w:val="59EE66DC"/>
    <w:rsid w:val="59EE791A"/>
    <w:rsid w:val="59F1740B"/>
    <w:rsid w:val="5A0013FC"/>
    <w:rsid w:val="5A040EEC"/>
    <w:rsid w:val="5A186745"/>
    <w:rsid w:val="5A20384C"/>
    <w:rsid w:val="5A24333C"/>
    <w:rsid w:val="5A2C67AF"/>
    <w:rsid w:val="5A3D61AC"/>
    <w:rsid w:val="5A3D69E9"/>
    <w:rsid w:val="5A4968FF"/>
    <w:rsid w:val="5A517EA9"/>
    <w:rsid w:val="5A5A6D5E"/>
    <w:rsid w:val="5A5B4884"/>
    <w:rsid w:val="5A60574D"/>
    <w:rsid w:val="5A6C4CE3"/>
    <w:rsid w:val="5A7140A7"/>
    <w:rsid w:val="5A7616BE"/>
    <w:rsid w:val="5A7F4A16"/>
    <w:rsid w:val="5A867B53"/>
    <w:rsid w:val="5A8C0EE1"/>
    <w:rsid w:val="5A8C260B"/>
    <w:rsid w:val="5A8C626D"/>
    <w:rsid w:val="5A8E07B6"/>
    <w:rsid w:val="5A907813"/>
    <w:rsid w:val="5A9102A6"/>
    <w:rsid w:val="5A9304C2"/>
    <w:rsid w:val="5A976C31"/>
    <w:rsid w:val="5A9A1850"/>
    <w:rsid w:val="5AA93841"/>
    <w:rsid w:val="5AAB75B9"/>
    <w:rsid w:val="5AB1181E"/>
    <w:rsid w:val="5AB300D4"/>
    <w:rsid w:val="5AB476E0"/>
    <w:rsid w:val="5ABB1F74"/>
    <w:rsid w:val="5AC643F3"/>
    <w:rsid w:val="5ACB1A0A"/>
    <w:rsid w:val="5ACD3071"/>
    <w:rsid w:val="5ACD5AC9"/>
    <w:rsid w:val="5AD52888"/>
    <w:rsid w:val="5ADC3C17"/>
    <w:rsid w:val="5ADD283A"/>
    <w:rsid w:val="5ADF54B5"/>
    <w:rsid w:val="5AE14D89"/>
    <w:rsid w:val="5AE34FA5"/>
    <w:rsid w:val="5AE4562C"/>
    <w:rsid w:val="5AEB60EB"/>
    <w:rsid w:val="5AFA409D"/>
    <w:rsid w:val="5B01542B"/>
    <w:rsid w:val="5B0B44FC"/>
    <w:rsid w:val="5B0B62AA"/>
    <w:rsid w:val="5B123195"/>
    <w:rsid w:val="5B3C6463"/>
    <w:rsid w:val="5B435A44"/>
    <w:rsid w:val="5B461090"/>
    <w:rsid w:val="5B574DA7"/>
    <w:rsid w:val="5B580591"/>
    <w:rsid w:val="5B5D7F38"/>
    <w:rsid w:val="5B6D486F"/>
    <w:rsid w:val="5B6F4A8B"/>
    <w:rsid w:val="5B707F12"/>
    <w:rsid w:val="5B7F7144"/>
    <w:rsid w:val="5B834092"/>
    <w:rsid w:val="5B863B83"/>
    <w:rsid w:val="5B8D3163"/>
    <w:rsid w:val="5B8F0C89"/>
    <w:rsid w:val="5B922527"/>
    <w:rsid w:val="5B9C5154"/>
    <w:rsid w:val="5BA87F9D"/>
    <w:rsid w:val="5BAB2C55"/>
    <w:rsid w:val="5BAC35E9"/>
    <w:rsid w:val="5BAD55B3"/>
    <w:rsid w:val="5BB71F8E"/>
    <w:rsid w:val="5BC30933"/>
    <w:rsid w:val="5BC36B85"/>
    <w:rsid w:val="5BCA3681"/>
    <w:rsid w:val="5BD64622"/>
    <w:rsid w:val="5BE10DB9"/>
    <w:rsid w:val="5BE54D4D"/>
    <w:rsid w:val="5BE82147"/>
    <w:rsid w:val="5BEE06CC"/>
    <w:rsid w:val="5BF60D08"/>
    <w:rsid w:val="5BF85C17"/>
    <w:rsid w:val="5BFB00CD"/>
    <w:rsid w:val="5BFB631F"/>
    <w:rsid w:val="5BFD2097"/>
    <w:rsid w:val="5BFD3E45"/>
    <w:rsid w:val="5C0C7A94"/>
    <w:rsid w:val="5C0D1BAE"/>
    <w:rsid w:val="5C1178F0"/>
    <w:rsid w:val="5C1949F7"/>
    <w:rsid w:val="5C2E2250"/>
    <w:rsid w:val="5C341831"/>
    <w:rsid w:val="5C3435DF"/>
    <w:rsid w:val="5C3E620B"/>
    <w:rsid w:val="5C480B69"/>
    <w:rsid w:val="5C4B6B03"/>
    <w:rsid w:val="5C4F21C6"/>
    <w:rsid w:val="5C553C81"/>
    <w:rsid w:val="5C6B350E"/>
    <w:rsid w:val="5C6E6AF1"/>
    <w:rsid w:val="5C757E7F"/>
    <w:rsid w:val="5C841E70"/>
    <w:rsid w:val="5C871960"/>
    <w:rsid w:val="5C8E7193"/>
    <w:rsid w:val="5C967DF5"/>
    <w:rsid w:val="5C9732A8"/>
    <w:rsid w:val="5CA16EC6"/>
    <w:rsid w:val="5CA97B29"/>
    <w:rsid w:val="5CAB1AF3"/>
    <w:rsid w:val="5CAE75C8"/>
    <w:rsid w:val="5CBA7F88"/>
    <w:rsid w:val="5CC04E72"/>
    <w:rsid w:val="5CC91F79"/>
    <w:rsid w:val="5CCB3F43"/>
    <w:rsid w:val="5CDE4E71"/>
    <w:rsid w:val="5CF3349A"/>
    <w:rsid w:val="5CFA405F"/>
    <w:rsid w:val="5CFB5EAA"/>
    <w:rsid w:val="5CFF1E3E"/>
    <w:rsid w:val="5D07136C"/>
    <w:rsid w:val="5D0905C7"/>
    <w:rsid w:val="5D12400F"/>
    <w:rsid w:val="5D137698"/>
    <w:rsid w:val="5D1551BE"/>
    <w:rsid w:val="5D177188"/>
    <w:rsid w:val="5D213B63"/>
    <w:rsid w:val="5D245401"/>
    <w:rsid w:val="5D29391E"/>
    <w:rsid w:val="5D2B6790"/>
    <w:rsid w:val="5D2D69AC"/>
    <w:rsid w:val="5D3F223B"/>
    <w:rsid w:val="5D431D2B"/>
    <w:rsid w:val="5D4B0BE0"/>
    <w:rsid w:val="5D4D6706"/>
    <w:rsid w:val="5D50269A"/>
    <w:rsid w:val="5D5201C0"/>
    <w:rsid w:val="5D537A94"/>
    <w:rsid w:val="5D5850AB"/>
    <w:rsid w:val="5D5F6439"/>
    <w:rsid w:val="5D616655"/>
    <w:rsid w:val="5D620057"/>
    <w:rsid w:val="5D641AC8"/>
    <w:rsid w:val="5D665A1A"/>
    <w:rsid w:val="5D6B3030"/>
    <w:rsid w:val="5D72616D"/>
    <w:rsid w:val="5D79399F"/>
    <w:rsid w:val="5D804D2D"/>
    <w:rsid w:val="5D873849"/>
    <w:rsid w:val="5D9702C9"/>
    <w:rsid w:val="5D9A044A"/>
    <w:rsid w:val="5DA0717E"/>
    <w:rsid w:val="5DA16A52"/>
    <w:rsid w:val="5DA54794"/>
    <w:rsid w:val="5DA64068"/>
    <w:rsid w:val="5DB11753"/>
    <w:rsid w:val="5DBF525A"/>
    <w:rsid w:val="5DD021B6"/>
    <w:rsid w:val="5DD24E5D"/>
    <w:rsid w:val="5DDB3E75"/>
    <w:rsid w:val="5DDB6408"/>
    <w:rsid w:val="5DDC7A8A"/>
    <w:rsid w:val="5DDE7CA6"/>
    <w:rsid w:val="5DED613B"/>
    <w:rsid w:val="5E055233"/>
    <w:rsid w:val="5E070FAB"/>
    <w:rsid w:val="5E082F75"/>
    <w:rsid w:val="5E0C65C1"/>
    <w:rsid w:val="5E113BD7"/>
    <w:rsid w:val="5E1910B1"/>
    <w:rsid w:val="5E211941"/>
    <w:rsid w:val="5E23390B"/>
    <w:rsid w:val="5E2558D5"/>
    <w:rsid w:val="5E2733FB"/>
    <w:rsid w:val="5E3B0C54"/>
    <w:rsid w:val="5E4C2E61"/>
    <w:rsid w:val="5E4E4E2C"/>
    <w:rsid w:val="5E4E6BDA"/>
    <w:rsid w:val="5E4F4700"/>
    <w:rsid w:val="5E50105F"/>
    <w:rsid w:val="5E512226"/>
    <w:rsid w:val="5E59557E"/>
    <w:rsid w:val="5E59732C"/>
    <w:rsid w:val="5E5B4E53"/>
    <w:rsid w:val="5E5C1DAD"/>
    <w:rsid w:val="5E5F0DE7"/>
    <w:rsid w:val="5E686DEC"/>
    <w:rsid w:val="5E736640"/>
    <w:rsid w:val="5E745F14"/>
    <w:rsid w:val="5E7B72A3"/>
    <w:rsid w:val="5E856373"/>
    <w:rsid w:val="5E8B1BDC"/>
    <w:rsid w:val="5E912F6A"/>
    <w:rsid w:val="5E9842F9"/>
    <w:rsid w:val="5E993BCD"/>
    <w:rsid w:val="5E9D190F"/>
    <w:rsid w:val="5E9F5687"/>
    <w:rsid w:val="5EA909D5"/>
    <w:rsid w:val="5EAC1B52"/>
    <w:rsid w:val="5EB01642"/>
    <w:rsid w:val="5EB76E76"/>
    <w:rsid w:val="5EBF3633"/>
    <w:rsid w:val="5EC40C4A"/>
    <w:rsid w:val="5EC7073A"/>
    <w:rsid w:val="5ED74DB7"/>
    <w:rsid w:val="5EDD61AF"/>
    <w:rsid w:val="5EE44E48"/>
    <w:rsid w:val="5EE60C28"/>
    <w:rsid w:val="5EE67E2F"/>
    <w:rsid w:val="5EEE216B"/>
    <w:rsid w:val="5EEE3F19"/>
    <w:rsid w:val="5EF07C91"/>
    <w:rsid w:val="5EF37781"/>
    <w:rsid w:val="5F025C16"/>
    <w:rsid w:val="5F10255B"/>
    <w:rsid w:val="5F125E59"/>
    <w:rsid w:val="5F155949"/>
    <w:rsid w:val="5F1F0576"/>
    <w:rsid w:val="5F221E14"/>
    <w:rsid w:val="5F225970"/>
    <w:rsid w:val="5F235836"/>
    <w:rsid w:val="5F271312"/>
    <w:rsid w:val="5F37098C"/>
    <w:rsid w:val="5F3758C0"/>
    <w:rsid w:val="5F3A53B0"/>
    <w:rsid w:val="5F3C2ED6"/>
    <w:rsid w:val="5F442E06"/>
    <w:rsid w:val="5F4601FF"/>
    <w:rsid w:val="5F465B03"/>
    <w:rsid w:val="5F4E2C09"/>
    <w:rsid w:val="5F585836"/>
    <w:rsid w:val="5F5875E4"/>
    <w:rsid w:val="5F61293D"/>
    <w:rsid w:val="5F622211"/>
    <w:rsid w:val="5F6366B5"/>
    <w:rsid w:val="5F67329C"/>
    <w:rsid w:val="5F6917F1"/>
    <w:rsid w:val="5F6B5569"/>
    <w:rsid w:val="5F6F241B"/>
    <w:rsid w:val="5F700DD2"/>
    <w:rsid w:val="5F73441E"/>
    <w:rsid w:val="5F7E34EF"/>
    <w:rsid w:val="5F9C3975"/>
    <w:rsid w:val="5F9E149B"/>
    <w:rsid w:val="5FA10F8B"/>
    <w:rsid w:val="5FB507D9"/>
    <w:rsid w:val="5FB962D5"/>
    <w:rsid w:val="5FC133DB"/>
    <w:rsid w:val="5FC609F2"/>
    <w:rsid w:val="5FCC24AC"/>
    <w:rsid w:val="5FCD7FD2"/>
    <w:rsid w:val="5FDF3861"/>
    <w:rsid w:val="5FE80968"/>
    <w:rsid w:val="5FEB0458"/>
    <w:rsid w:val="5FEB66AA"/>
    <w:rsid w:val="5FEF5A95"/>
    <w:rsid w:val="5FF324C4"/>
    <w:rsid w:val="5FFC2665"/>
    <w:rsid w:val="60025ECE"/>
    <w:rsid w:val="60065292"/>
    <w:rsid w:val="600700FE"/>
    <w:rsid w:val="60116111"/>
    <w:rsid w:val="60121E89"/>
    <w:rsid w:val="601259E5"/>
    <w:rsid w:val="6017124D"/>
    <w:rsid w:val="60172FFB"/>
    <w:rsid w:val="60184DC5"/>
    <w:rsid w:val="60196D73"/>
    <w:rsid w:val="601B0D3D"/>
    <w:rsid w:val="601B2AEB"/>
    <w:rsid w:val="601E7532"/>
    <w:rsid w:val="60235E44"/>
    <w:rsid w:val="603242D9"/>
    <w:rsid w:val="603B0339"/>
    <w:rsid w:val="604069F6"/>
    <w:rsid w:val="60430294"/>
    <w:rsid w:val="60477D84"/>
    <w:rsid w:val="604C0EF7"/>
    <w:rsid w:val="604C7149"/>
    <w:rsid w:val="60563B24"/>
    <w:rsid w:val="606A3A73"/>
    <w:rsid w:val="607246D5"/>
    <w:rsid w:val="60755255"/>
    <w:rsid w:val="60756DEE"/>
    <w:rsid w:val="607B7A2E"/>
    <w:rsid w:val="60880F62"/>
    <w:rsid w:val="60883EF9"/>
    <w:rsid w:val="608A1A1F"/>
    <w:rsid w:val="608F5287"/>
    <w:rsid w:val="60911000"/>
    <w:rsid w:val="60936B26"/>
    <w:rsid w:val="60997EB4"/>
    <w:rsid w:val="60AA20C1"/>
    <w:rsid w:val="60AD570E"/>
    <w:rsid w:val="60B352F0"/>
    <w:rsid w:val="60B62814"/>
    <w:rsid w:val="60B82A30"/>
    <w:rsid w:val="60C2565D"/>
    <w:rsid w:val="60C2740B"/>
    <w:rsid w:val="60D1764E"/>
    <w:rsid w:val="60D609F8"/>
    <w:rsid w:val="60E03D35"/>
    <w:rsid w:val="60E058A9"/>
    <w:rsid w:val="60E43825"/>
    <w:rsid w:val="60F021CA"/>
    <w:rsid w:val="610901C1"/>
    <w:rsid w:val="6118527D"/>
    <w:rsid w:val="611A2DA3"/>
    <w:rsid w:val="611C241C"/>
    <w:rsid w:val="61203A37"/>
    <w:rsid w:val="612C6F7A"/>
    <w:rsid w:val="613320B7"/>
    <w:rsid w:val="613A3445"/>
    <w:rsid w:val="613A51F3"/>
    <w:rsid w:val="613D2F35"/>
    <w:rsid w:val="6142679E"/>
    <w:rsid w:val="614E0C9F"/>
    <w:rsid w:val="6155202D"/>
    <w:rsid w:val="615D69D5"/>
    <w:rsid w:val="615E35D8"/>
    <w:rsid w:val="61600EEA"/>
    <w:rsid w:val="61614E76"/>
    <w:rsid w:val="616D381B"/>
    <w:rsid w:val="61736957"/>
    <w:rsid w:val="617469F8"/>
    <w:rsid w:val="617B49BF"/>
    <w:rsid w:val="61812E22"/>
    <w:rsid w:val="619224F1"/>
    <w:rsid w:val="61930DA7"/>
    <w:rsid w:val="61970898"/>
    <w:rsid w:val="619D6A40"/>
    <w:rsid w:val="61A134C4"/>
    <w:rsid w:val="61A1732E"/>
    <w:rsid w:val="61A44D62"/>
    <w:rsid w:val="61A82AA5"/>
    <w:rsid w:val="61C407E6"/>
    <w:rsid w:val="61C471B3"/>
    <w:rsid w:val="61C613E2"/>
    <w:rsid w:val="61D92C5E"/>
    <w:rsid w:val="61DC62AA"/>
    <w:rsid w:val="61E00186"/>
    <w:rsid w:val="61EC42AE"/>
    <w:rsid w:val="61F730E4"/>
    <w:rsid w:val="61F94DC1"/>
    <w:rsid w:val="62015D11"/>
    <w:rsid w:val="620F6680"/>
    <w:rsid w:val="62116FB3"/>
    <w:rsid w:val="62175534"/>
    <w:rsid w:val="62206F72"/>
    <w:rsid w:val="62261C1B"/>
    <w:rsid w:val="62312A9A"/>
    <w:rsid w:val="623460E6"/>
    <w:rsid w:val="623C1FD4"/>
    <w:rsid w:val="623C31ED"/>
    <w:rsid w:val="62426A55"/>
    <w:rsid w:val="62450929"/>
    <w:rsid w:val="62487DE4"/>
    <w:rsid w:val="62540537"/>
    <w:rsid w:val="625E7607"/>
    <w:rsid w:val="62650996"/>
    <w:rsid w:val="62652744"/>
    <w:rsid w:val="626764BC"/>
    <w:rsid w:val="62736AD3"/>
    <w:rsid w:val="627604AD"/>
    <w:rsid w:val="627806C9"/>
    <w:rsid w:val="627E7362"/>
    <w:rsid w:val="62830E1C"/>
    <w:rsid w:val="628C7CD0"/>
    <w:rsid w:val="62917095"/>
    <w:rsid w:val="629372B1"/>
    <w:rsid w:val="62957C63"/>
    <w:rsid w:val="629B7F14"/>
    <w:rsid w:val="629D0130"/>
    <w:rsid w:val="62A36DC8"/>
    <w:rsid w:val="62A414BE"/>
    <w:rsid w:val="62AA45FB"/>
    <w:rsid w:val="62B965EC"/>
    <w:rsid w:val="62BB2364"/>
    <w:rsid w:val="62BE29EA"/>
    <w:rsid w:val="62BF1D86"/>
    <w:rsid w:val="62C03E1E"/>
    <w:rsid w:val="62CC631F"/>
    <w:rsid w:val="62D653F0"/>
    <w:rsid w:val="62DD677E"/>
    <w:rsid w:val="62DE6052"/>
    <w:rsid w:val="62E0001C"/>
    <w:rsid w:val="62EA0E9B"/>
    <w:rsid w:val="62EC1E3F"/>
    <w:rsid w:val="62F92E8C"/>
    <w:rsid w:val="62FB09B2"/>
    <w:rsid w:val="630006BE"/>
    <w:rsid w:val="630F26B0"/>
    <w:rsid w:val="631101D6"/>
    <w:rsid w:val="6315416A"/>
    <w:rsid w:val="63161C90"/>
    <w:rsid w:val="631877B6"/>
    <w:rsid w:val="631B1054"/>
    <w:rsid w:val="632443AD"/>
    <w:rsid w:val="632C5010"/>
    <w:rsid w:val="63451955"/>
    <w:rsid w:val="63471E49"/>
    <w:rsid w:val="63493E13"/>
    <w:rsid w:val="634C3904"/>
    <w:rsid w:val="63554566"/>
    <w:rsid w:val="6356208C"/>
    <w:rsid w:val="63573445"/>
    <w:rsid w:val="635E5D7B"/>
    <w:rsid w:val="6367429A"/>
    <w:rsid w:val="637013A0"/>
    <w:rsid w:val="637349EC"/>
    <w:rsid w:val="637C3383"/>
    <w:rsid w:val="637F7C6C"/>
    <w:rsid w:val="638B61DA"/>
    <w:rsid w:val="638D1F52"/>
    <w:rsid w:val="638E7A78"/>
    <w:rsid w:val="63936E3D"/>
    <w:rsid w:val="639A01CB"/>
    <w:rsid w:val="639C2195"/>
    <w:rsid w:val="63A36353"/>
    <w:rsid w:val="63AB687C"/>
    <w:rsid w:val="63AE1EC8"/>
    <w:rsid w:val="63B85958"/>
    <w:rsid w:val="63BA6ABF"/>
    <w:rsid w:val="63C11BFC"/>
    <w:rsid w:val="63C33BC6"/>
    <w:rsid w:val="63C65A29"/>
    <w:rsid w:val="63D77671"/>
    <w:rsid w:val="63DB5B52"/>
    <w:rsid w:val="63DD630A"/>
    <w:rsid w:val="63E1404C"/>
    <w:rsid w:val="63E74D4D"/>
    <w:rsid w:val="63E87188"/>
    <w:rsid w:val="63F43D7F"/>
    <w:rsid w:val="63F82EBE"/>
    <w:rsid w:val="63FA6EBC"/>
    <w:rsid w:val="64025D70"/>
    <w:rsid w:val="640F0BB9"/>
    <w:rsid w:val="6410048D"/>
    <w:rsid w:val="641A755E"/>
    <w:rsid w:val="641C32D6"/>
    <w:rsid w:val="641E704E"/>
    <w:rsid w:val="641F6922"/>
    <w:rsid w:val="642108EC"/>
    <w:rsid w:val="642139FE"/>
    <w:rsid w:val="64243F39"/>
    <w:rsid w:val="64306D81"/>
    <w:rsid w:val="6435102C"/>
    <w:rsid w:val="64356146"/>
    <w:rsid w:val="64395C36"/>
    <w:rsid w:val="643E324C"/>
    <w:rsid w:val="643E4FFA"/>
    <w:rsid w:val="64436AB5"/>
    <w:rsid w:val="644B1CF5"/>
    <w:rsid w:val="64524F4A"/>
    <w:rsid w:val="645A5BAC"/>
    <w:rsid w:val="645A795A"/>
    <w:rsid w:val="645E744B"/>
    <w:rsid w:val="647153D0"/>
    <w:rsid w:val="64722EF6"/>
    <w:rsid w:val="64754794"/>
    <w:rsid w:val="647749B0"/>
    <w:rsid w:val="64833355"/>
    <w:rsid w:val="64836EB1"/>
    <w:rsid w:val="64842A5C"/>
    <w:rsid w:val="648D5F82"/>
    <w:rsid w:val="64917820"/>
    <w:rsid w:val="64923598"/>
    <w:rsid w:val="649317EA"/>
    <w:rsid w:val="64966BE4"/>
    <w:rsid w:val="649E6BD8"/>
    <w:rsid w:val="64A55079"/>
    <w:rsid w:val="64AE68D1"/>
    <w:rsid w:val="64BB489D"/>
    <w:rsid w:val="64BC73E5"/>
    <w:rsid w:val="64D56443"/>
    <w:rsid w:val="64E17688"/>
    <w:rsid w:val="64E21E2A"/>
    <w:rsid w:val="64F47DAF"/>
    <w:rsid w:val="64FC4377"/>
    <w:rsid w:val="64FE29DC"/>
    <w:rsid w:val="650A75D2"/>
    <w:rsid w:val="650E0E71"/>
    <w:rsid w:val="651D2E62"/>
    <w:rsid w:val="652266CA"/>
    <w:rsid w:val="652341F0"/>
    <w:rsid w:val="6531690D"/>
    <w:rsid w:val="653603C7"/>
    <w:rsid w:val="65404A2B"/>
    <w:rsid w:val="65436640"/>
    <w:rsid w:val="654519D7"/>
    <w:rsid w:val="65483324"/>
    <w:rsid w:val="656F7435"/>
    <w:rsid w:val="65842EE1"/>
    <w:rsid w:val="658D3A9B"/>
    <w:rsid w:val="658E40D2"/>
    <w:rsid w:val="65962C14"/>
    <w:rsid w:val="659C31D9"/>
    <w:rsid w:val="659D3FA3"/>
    <w:rsid w:val="659F5F6D"/>
    <w:rsid w:val="65A11CE5"/>
    <w:rsid w:val="65A13A93"/>
    <w:rsid w:val="65AB2B63"/>
    <w:rsid w:val="65BF03BD"/>
    <w:rsid w:val="65C15EE3"/>
    <w:rsid w:val="65C6174B"/>
    <w:rsid w:val="65C71020"/>
    <w:rsid w:val="65C77271"/>
    <w:rsid w:val="65D57BBB"/>
    <w:rsid w:val="65D648DA"/>
    <w:rsid w:val="65D774B5"/>
    <w:rsid w:val="65D8322D"/>
    <w:rsid w:val="65DD6A95"/>
    <w:rsid w:val="65DF0A5F"/>
    <w:rsid w:val="65E16585"/>
    <w:rsid w:val="65F067C8"/>
    <w:rsid w:val="660202AA"/>
    <w:rsid w:val="6612673F"/>
    <w:rsid w:val="6618187B"/>
    <w:rsid w:val="66240220"/>
    <w:rsid w:val="66287D10"/>
    <w:rsid w:val="662B5A52"/>
    <w:rsid w:val="66303069"/>
    <w:rsid w:val="66434B4A"/>
    <w:rsid w:val="66442670"/>
    <w:rsid w:val="66494E40"/>
    <w:rsid w:val="664B39FF"/>
    <w:rsid w:val="664D7777"/>
    <w:rsid w:val="664F7993"/>
    <w:rsid w:val="66521231"/>
    <w:rsid w:val="665A1E94"/>
    <w:rsid w:val="66642E74"/>
    <w:rsid w:val="666D7E19"/>
    <w:rsid w:val="66703465"/>
    <w:rsid w:val="667C4500"/>
    <w:rsid w:val="66807B4C"/>
    <w:rsid w:val="668B029F"/>
    <w:rsid w:val="669A362F"/>
    <w:rsid w:val="66A42E65"/>
    <w:rsid w:val="66A870A3"/>
    <w:rsid w:val="66B37C36"/>
    <w:rsid w:val="66BA5445"/>
    <w:rsid w:val="66BC2B4E"/>
    <w:rsid w:val="66C7577B"/>
    <w:rsid w:val="66C8504F"/>
    <w:rsid w:val="66CF4630"/>
    <w:rsid w:val="66E0683D"/>
    <w:rsid w:val="66E55C01"/>
    <w:rsid w:val="66E856F1"/>
    <w:rsid w:val="66F61BBC"/>
    <w:rsid w:val="66F66060"/>
    <w:rsid w:val="66FE3167"/>
    <w:rsid w:val="670A1B0C"/>
    <w:rsid w:val="670A5668"/>
    <w:rsid w:val="6716400D"/>
    <w:rsid w:val="671F55B7"/>
    <w:rsid w:val="67361B61"/>
    <w:rsid w:val="6739419F"/>
    <w:rsid w:val="67397CFB"/>
    <w:rsid w:val="67486190"/>
    <w:rsid w:val="67492634"/>
    <w:rsid w:val="674C320E"/>
    <w:rsid w:val="674C5C80"/>
    <w:rsid w:val="675B4115"/>
    <w:rsid w:val="676254A4"/>
    <w:rsid w:val="67687FDF"/>
    <w:rsid w:val="676E3E49"/>
    <w:rsid w:val="676E5BF7"/>
    <w:rsid w:val="6773145F"/>
    <w:rsid w:val="67746F85"/>
    <w:rsid w:val="67840CA7"/>
    <w:rsid w:val="678A67A9"/>
    <w:rsid w:val="678C08FE"/>
    <w:rsid w:val="678F3DBF"/>
    <w:rsid w:val="67917B37"/>
    <w:rsid w:val="67924DD9"/>
    <w:rsid w:val="679D472E"/>
    <w:rsid w:val="67A07D7A"/>
    <w:rsid w:val="67A21D44"/>
    <w:rsid w:val="67A400BF"/>
    <w:rsid w:val="67A535E2"/>
    <w:rsid w:val="67A755AC"/>
    <w:rsid w:val="67A7735B"/>
    <w:rsid w:val="67A930D3"/>
    <w:rsid w:val="67AB6E4B"/>
    <w:rsid w:val="67B759B5"/>
    <w:rsid w:val="67BD26DA"/>
    <w:rsid w:val="67C25F42"/>
    <w:rsid w:val="67C45A10"/>
    <w:rsid w:val="67D53EC8"/>
    <w:rsid w:val="67DA7730"/>
    <w:rsid w:val="67DF4D46"/>
    <w:rsid w:val="67E4235D"/>
    <w:rsid w:val="67E97973"/>
    <w:rsid w:val="67EC2FBF"/>
    <w:rsid w:val="67F00D02"/>
    <w:rsid w:val="67F0485E"/>
    <w:rsid w:val="67FC1454"/>
    <w:rsid w:val="68012F0F"/>
    <w:rsid w:val="68040309"/>
    <w:rsid w:val="68056D75"/>
    <w:rsid w:val="68062755"/>
    <w:rsid w:val="6809591F"/>
    <w:rsid w:val="6817003C"/>
    <w:rsid w:val="681C5A5D"/>
    <w:rsid w:val="68295FC1"/>
    <w:rsid w:val="682B3AE8"/>
    <w:rsid w:val="68340F77"/>
    <w:rsid w:val="68352BB8"/>
    <w:rsid w:val="68356714"/>
    <w:rsid w:val="683A570A"/>
    <w:rsid w:val="683E7CBF"/>
    <w:rsid w:val="684352D5"/>
    <w:rsid w:val="684A6664"/>
    <w:rsid w:val="684C6BA7"/>
    <w:rsid w:val="68550B65"/>
    <w:rsid w:val="685A617B"/>
    <w:rsid w:val="686D2352"/>
    <w:rsid w:val="68721D4C"/>
    <w:rsid w:val="687377EB"/>
    <w:rsid w:val="68882CE8"/>
    <w:rsid w:val="68896A60"/>
    <w:rsid w:val="688D6550"/>
    <w:rsid w:val="689C49E5"/>
    <w:rsid w:val="689F0032"/>
    <w:rsid w:val="68A37B22"/>
    <w:rsid w:val="68C1269E"/>
    <w:rsid w:val="68CA3301"/>
    <w:rsid w:val="68E32614"/>
    <w:rsid w:val="68F24605"/>
    <w:rsid w:val="68F33ECA"/>
    <w:rsid w:val="68F55EA4"/>
    <w:rsid w:val="68FB170C"/>
    <w:rsid w:val="68FE7005"/>
    <w:rsid w:val="69012A9A"/>
    <w:rsid w:val="690507DD"/>
    <w:rsid w:val="690F51B7"/>
    <w:rsid w:val="69121067"/>
    <w:rsid w:val="69166546"/>
    <w:rsid w:val="69194288"/>
    <w:rsid w:val="691C17A6"/>
    <w:rsid w:val="69270753"/>
    <w:rsid w:val="692844CB"/>
    <w:rsid w:val="692A3D9F"/>
    <w:rsid w:val="692C7B17"/>
    <w:rsid w:val="69320EA6"/>
    <w:rsid w:val="69360996"/>
    <w:rsid w:val="693E3CEF"/>
    <w:rsid w:val="69446F6F"/>
    <w:rsid w:val="69483716"/>
    <w:rsid w:val="694C01BA"/>
    <w:rsid w:val="6958090C"/>
    <w:rsid w:val="695F613F"/>
    <w:rsid w:val="69605A13"/>
    <w:rsid w:val="69607906"/>
    <w:rsid w:val="69635503"/>
    <w:rsid w:val="696C085C"/>
    <w:rsid w:val="696C1516"/>
    <w:rsid w:val="696C7DCD"/>
    <w:rsid w:val="69747710"/>
    <w:rsid w:val="697B1B1A"/>
    <w:rsid w:val="69870D80"/>
    <w:rsid w:val="698C6808"/>
    <w:rsid w:val="69A55B1C"/>
    <w:rsid w:val="69AC6DCF"/>
    <w:rsid w:val="69BB65F8"/>
    <w:rsid w:val="69C935B8"/>
    <w:rsid w:val="69CD23CC"/>
    <w:rsid w:val="69D02B99"/>
    <w:rsid w:val="69DA7573"/>
    <w:rsid w:val="69DC7B6A"/>
    <w:rsid w:val="69E5056B"/>
    <w:rsid w:val="69E76134"/>
    <w:rsid w:val="69F61ED3"/>
    <w:rsid w:val="69FF6FDA"/>
    <w:rsid w:val="6A0445F0"/>
    <w:rsid w:val="6A097E59"/>
    <w:rsid w:val="6A0C16F7"/>
    <w:rsid w:val="6A132A85"/>
    <w:rsid w:val="6A1A02B8"/>
    <w:rsid w:val="6A1B7B8C"/>
    <w:rsid w:val="6A1D56B2"/>
    <w:rsid w:val="6A1F58CE"/>
    <w:rsid w:val="6A22716C"/>
    <w:rsid w:val="6A2408D5"/>
    <w:rsid w:val="6A242EE4"/>
    <w:rsid w:val="6A244C92"/>
    <w:rsid w:val="6A2B4D5A"/>
    <w:rsid w:val="6A2C3B47"/>
    <w:rsid w:val="6A3273AF"/>
    <w:rsid w:val="6A3A2708"/>
    <w:rsid w:val="6A3F7D1E"/>
    <w:rsid w:val="6A4C5F97"/>
    <w:rsid w:val="6A530B32"/>
    <w:rsid w:val="6A5C61DA"/>
    <w:rsid w:val="6A5F216E"/>
    <w:rsid w:val="6A6E5F0E"/>
    <w:rsid w:val="6A7A2B04"/>
    <w:rsid w:val="6A805206"/>
    <w:rsid w:val="6A837C0B"/>
    <w:rsid w:val="6A862DB8"/>
    <w:rsid w:val="6A9260A0"/>
    <w:rsid w:val="6A927E4E"/>
    <w:rsid w:val="6A9F07BD"/>
    <w:rsid w:val="6AA162E3"/>
    <w:rsid w:val="6AA45DD3"/>
    <w:rsid w:val="6AAB0F10"/>
    <w:rsid w:val="6AAF6621"/>
    <w:rsid w:val="6AB17D84"/>
    <w:rsid w:val="6AB26742"/>
    <w:rsid w:val="6AB76988"/>
    <w:rsid w:val="6ABC4ECB"/>
    <w:rsid w:val="6AC81AC2"/>
    <w:rsid w:val="6ACB7804"/>
    <w:rsid w:val="6AD52BF3"/>
    <w:rsid w:val="6ADE7537"/>
    <w:rsid w:val="6AF0035A"/>
    <w:rsid w:val="6AF23A0B"/>
    <w:rsid w:val="6AF723A7"/>
    <w:rsid w:val="6AF90E96"/>
    <w:rsid w:val="6AF9611F"/>
    <w:rsid w:val="6B00256E"/>
    <w:rsid w:val="6B064398"/>
    <w:rsid w:val="6B065EC2"/>
    <w:rsid w:val="6B0B1856"/>
    <w:rsid w:val="6B1116BB"/>
    <w:rsid w:val="6B1271E1"/>
    <w:rsid w:val="6B264A3A"/>
    <w:rsid w:val="6B2807B2"/>
    <w:rsid w:val="6B296FF5"/>
    <w:rsid w:val="6B3355F8"/>
    <w:rsid w:val="6B405643"/>
    <w:rsid w:val="6B4662CB"/>
    <w:rsid w:val="6B4D0219"/>
    <w:rsid w:val="6B4F5D3F"/>
    <w:rsid w:val="6B5B2936"/>
    <w:rsid w:val="6B5E5F82"/>
    <w:rsid w:val="6B7359AC"/>
    <w:rsid w:val="6B7B4D86"/>
    <w:rsid w:val="6B8005EE"/>
    <w:rsid w:val="6B80414A"/>
    <w:rsid w:val="6B813A56"/>
    <w:rsid w:val="6B8310F6"/>
    <w:rsid w:val="6B855C05"/>
    <w:rsid w:val="6B8E4AB9"/>
    <w:rsid w:val="6B9145AA"/>
    <w:rsid w:val="6B9A344D"/>
    <w:rsid w:val="6B9D4CFC"/>
    <w:rsid w:val="6B9E2823"/>
    <w:rsid w:val="6BA20565"/>
    <w:rsid w:val="6BA75B7B"/>
    <w:rsid w:val="6BAA7419"/>
    <w:rsid w:val="6BAE6F0A"/>
    <w:rsid w:val="6BB157E5"/>
    <w:rsid w:val="6BBB1CA5"/>
    <w:rsid w:val="6BBF1117"/>
    <w:rsid w:val="6BC404DB"/>
    <w:rsid w:val="6BD149A6"/>
    <w:rsid w:val="6BD879A8"/>
    <w:rsid w:val="6BDD77EF"/>
    <w:rsid w:val="6BE04BE9"/>
    <w:rsid w:val="6BE413C0"/>
    <w:rsid w:val="6BE7241B"/>
    <w:rsid w:val="6BFB5EC7"/>
    <w:rsid w:val="6BFB7C75"/>
    <w:rsid w:val="6BFF6B35"/>
    <w:rsid w:val="6C134FBF"/>
    <w:rsid w:val="6C225202"/>
    <w:rsid w:val="6C262F44"/>
    <w:rsid w:val="6C272818"/>
    <w:rsid w:val="6C27725F"/>
    <w:rsid w:val="6C33740F"/>
    <w:rsid w:val="6C353187"/>
    <w:rsid w:val="6C354F35"/>
    <w:rsid w:val="6C3867D3"/>
    <w:rsid w:val="6C3F4006"/>
    <w:rsid w:val="6C430C7D"/>
    <w:rsid w:val="6C507FC1"/>
    <w:rsid w:val="6C5D448C"/>
    <w:rsid w:val="6C7041BF"/>
    <w:rsid w:val="6C7625FC"/>
    <w:rsid w:val="6C763BA2"/>
    <w:rsid w:val="6C7672FB"/>
    <w:rsid w:val="6C7A3290"/>
    <w:rsid w:val="6C7A3B4E"/>
    <w:rsid w:val="6C7C2B64"/>
    <w:rsid w:val="6C7D7521"/>
    <w:rsid w:val="6C7F4402"/>
    <w:rsid w:val="6C832144"/>
    <w:rsid w:val="6C9D0D2C"/>
    <w:rsid w:val="6CA976D1"/>
    <w:rsid w:val="6CAB169B"/>
    <w:rsid w:val="6CAD0F6F"/>
    <w:rsid w:val="6CAE4CE7"/>
    <w:rsid w:val="6CB30550"/>
    <w:rsid w:val="6CBA22B8"/>
    <w:rsid w:val="6CBC5656"/>
    <w:rsid w:val="6CC62031"/>
    <w:rsid w:val="6CCD3729"/>
    <w:rsid w:val="6CD94BB4"/>
    <w:rsid w:val="6CD97FB6"/>
    <w:rsid w:val="6CDA3D2E"/>
    <w:rsid w:val="6CDC3602"/>
    <w:rsid w:val="6CE1330F"/>
    <w:rsid w:val="6CE65A7A"/>
    <w:rsid w:val="6CF43042"/>
    <w:rsid w:val="6CFB66E1"/>
    <w:rsid w:val="6CFC5A53"/>
    <w:rsid w:val="6D090170"/>
    <w:rsid w:val="6D0A63C2"/>
    <w:rsid w:val="6D1234C8"/>
    <w:rsid w:val="6D1C60F5"/>
    <w:rsid w:val="6D2A25C0"/>
    <w:rsid w:val="6D2A6A64"/>
    <w:rsid w:val="6D365409"/>
    <w:rsid w:val="6D396CA7"/>
    <w:rsid w:val="6D3B47CD"/>
    <w:rsid w:val="6D433682"/>
    <w:rsid w:val="6D4A0EB4"/>
    <w:rsid w:val="6D5F72F2"/>
    <w:rsid w:val="6D61130D"/>
    <w:rsid w:val="6D6535F8"/>
    <w:rsid w:val="6D655CEE"/>
    <w:rsid w:val="6D6A6D2C"/>
    <w:rsid w:val="6D6F4477"/>
    <w:rsid w:val="6D716441"/>
    <w:rsid w:val="6D744C4B"/>
    <w:rsid w:val="6D754BD4"/>
    <w:rsid w:val="6D7B72BF"/>
    <w:rsid w:val="6D836174"/>
    <w:rsid w:val="6D9B526C"/>
    <w:rsid w:val="6DA16836"/>
    <w:rsid w:val="6DB36A59"/>
    <w:rsid w:val="6DBB590E"/>
    <w:rsid w:val="6DC36570"/>
    <w:rsid w:val="6DC742B3"/>
    <w:rsid w:val="6DC80554"/>
    <w:rsid w:val="6DCE3893"/>
    <w:rsid w:val="6DD4077E"/>
    <w:rsid w:val="6DEF7365"/>
    <w:rsid w:val="6DF130DE"/>
    <w:rsid w:val="6DFD1A82"/>
    <w:rsid w:val="6E0E1EE1"/>
    <w:rsid w:val="6E0E3C8F"/>
    <w:rsid w:val="6E1129A7"/>
    <w:rsid w:val="6E1A0886"/>
    <w:rsid w:val="6E1B45FE"/>
    <w:rsid w:val="6E272FA3"/>
    <w:rsid w:val="6E315BD0"/>
    <w:rsid w:val="6E405E13"/>
    <w:rsid w:val="6E421B8B"/>
    <w:rsid w:val="6E49116B"/>
    <w:rsid w:val="6E4B4EE4"/>
    <w:rsid w:val="6E5518BE"/>
    <w:rsid w:val="6E55366C"/>
    <w:rsid w:val="6E5813AF"/>
    <w:rsid w:val="6E5A5127"/>
    <w:rsid w:val="6E5B2C4D"/>
    <w:rsid w:val="6E5F098F"/>
    <w:rsid w:val="6E5F44EB"/>
    <w:rsid w:val="6E607369"/>
    <w:rsid w:val="6E641B01"/>
    <w:rsid w:val="6E686FC8"/>
    <w:rsid w:val="6E6C09B6"/>
    <w:rsid w:val="6E6E472E"/>
    <w:rsid w:val="6E6F127D"/>
    <w:rsid w:val="6E753D0F"/>
    <w:rsid w:val="6E7A1325"/>
    <w:rsid w:val="6E7C509D"/>
    <w:rsid w:val="6E7F2DDF"/>
    <w:rsid w:val="6E851A78"/>
    <w:rsid w:val="6E891568"/>
    <w:rsid w:val="6E8D72AA"/>
    <w:rsid w:val="6E930639"/>
    <w:rsid w:val="6EA63845"/>
    <w:rsid w:val="6EAD34A8"/>
    <w:rsid w:val="6EC24A7A"/>
    <w:rsid w:val="6ED77DCF"/>
    <w:rsid w:val="6EDC3D8E"/>
    <w:rsid w:val="6EDF6561"/>
    <w:rsid w:val="6EE40F43"/>
    <w:rsid w:val="6EE53863"/>
    <w:rsid w:val="6EEA3EE9"/>
    <w:rsid w:val="6EFD71E4"/>
    <w:rsid w:val="6F0357BE"/>
    <w:rsid w:val="6F062BB9"/>
    <w:rsid w:val="6F0926A9"/>
    <w:rsid w:val="6F0A40EE"/>
    <w:rsid w:val="6F1057E5"/>
    <w:rsid w:val="6F125A01"/>
    <w:rsid w:val="6F1C23DC"/>
    <w:rsid w:val="6F2A4AF9"/>
    <w:rsid w:val="6F2F0361"/>
    <w:rsid w:val="6F345978"/>
    <w:rsid w:val="6F481423"/>
    <w:rsid w:val="6F563B40"/>
    <w:rsid w:val="6F5C6C7D"/>
    <w:rsid w:val="6F60676D"/>
    <w:rsid w:val="6F614293"/>
    <w:rsid w:val="6F685621"/>
    <w:rsid w:val="6F6B5112"/>
    <w:rsid w:val="6F775864"/>
    <w:rsid w:val="6F887A72"/>
    <w:rsid w:val="6F8D32DA"/>
    <w:rsid w:val="6F9208F0"/>
    <w:rsid w:val="6F9603E0"/>
    <w:rsid w:val="6F977CB5"/>
    <w:rsid w:val="6FA04DBB"/>
    <w:rsid w:val="6FA67EF8"/>
    <w:rsid w:val="6FA90FC6"/>
    <w:rsid w:val="6FAD74D8"/>
    <w:rsid w:val="6FB42615"/>
    <w:rsid w:val="6FBE3493"/>
    <w:rsid w:val="6FC01CFF"/>
    <w:rsid w:val="6FC84312"/>
    <w:rsid w:val="6FCC7518"/>
    <w:rsid w:val="6FD76303"/>
    <w:rsid w:val="6FD865C1"/>
    <w:rsid w:val="6FDD145F"/>
    <w:rsid w:val="6FEA24DA"/>
    <w:rsid w:val="6FED5B27"/>
    <w:rsid w:val="6FF3138F"/>
    <w:rsid w:val="70001CFE"/>
    <w:rsid w:val="7004359C"/>
    <w:rsid w:val="70052E70"/>
    <w:rsid w:val="700F0193"/>
    <w:rsid w:val="7016644C"/>
    <w:rsid w:val="701B2694"/>
    <w:rsid w:val="701B6B38"/>
    <w:rsid w:val="702552C0"/>
    <w:rsid w:val="702D48C6"/>
    <w:rsid w:val="703025E3"/>
    <w:rsid w:val="70311EB7"/>
    <w:rsid w:val="703379DD"/>
    <w:rsid w:val="70383246"/>
    <w:rsid w:val="703C54E9"/>
    <w:rsid w:val="70427A03"/>
    <w:rsid w:val="70481727"/>
    <w:rsid w:val="704C6CF1"/>
    <w:rsid w:val="704F058F"/>
    <w:rsid w:val="705931BC"/>
    <w:rsid w:val="70650803"/>
    <w:rsid w:val="70691651"/>
    <w:rsid w:val="706A53C9"/>
    <w:rsid w:val="706F478E"/>
    <w:rsid w:val="707A385E"/>
    <w:rsid w:val="70877D29"/>
    <w:rsid w:val="70952446"/>
    <w:rsid w:val="709541F4"/>
    <w:rsid w:val="70983CE4"/>
    <w:rsid w:val="709D754D"/>
    <w:rsid w:val="709F32C5"/>
    <w:rsid w:val="70AD3C34"/>
    <w:rsid w:val="70B054D2"/>
    <w:rsid w:val="70B14DA6"/>
    <w:rsid w:val="70B75B96"/>
    <w:rsid w:val="70B84386"/>
    <w:rsid w:val="70BF3967"/>
    <w:rsid w:val="70CB40BA"/>
    <w:rsid w:val="70D3427F"/>
    <w:rsid w:val="70D80585"/>
    <w:rsid w:val="70D80B24"/>
    <w:rsid w:val="70D86D67"/>
    <w:rsid w:val="70DA60AB"/>
    <w:rsid w:val="70E45781"/>
    <w:rsid w:val="70E62CA2"/>
    <w:rsid w:val="70F74EAF"/>
    <w:rsid w:val="70F96451"/>
    <w:rsid w:val="70FF3D63"/>
    <w:rsid w:val="71063344"/>
    <w:rsid w:val="710B44B6"/>
    <w:rsid w:val="71241A1C"/>
    <w:rsid w:val="712B4B58"/>
    <w:rsid w:val="71353C29"/>
    <w:rsid w:val="713954C7"/>
    <w:rsid w:val="713A123F"/>
    <w:rsid w:val="715C5D63"/>
    <w:rsid w:val="71632544"/>
    <w:rsid w:val="71641E18"/>
    <w:rsid w:val="71665B90"/>
    <w:rsid w:val="716D52CF"/>
    <w:rsid w:val="71706A0F"/>
    <w:rsid w:val="717402AD"/>
    <w:rsid w:val="71775FF0"/>
    <w:rsid w:val="7178147A"/>
    <w:rsid w:val="717E5165"/>
    <w:rsid w:val="718656AD"/>
    <w:rsid w:val="718C0BF9"/>
    <w:rsid w:val="719170B1"/>
    <w:rsid w:val="71950224"/>
    <w:rsid w:val="71984222"/>
    <w:rsid w:val="71A566B9"/>
    <w:rsid w:val="71AF12E6"/>
    <w:rsid w:val="71B66B18"/>
    <w:rsid w:val="71B7463E"/>
    <w:rsid w:val="71BC1C54"/>
    <w:rsid w:val="71BE16E0"/>
    <w:rsid w:val="71C034F3"/>
    <w:rsid w:val="71CC00E9"/>
    <w:rsid w:val="71CD5C10"/>
    <w:rsid w:val="71D21478"/>
    <w:rsid w:val="71DC40A5"/>
    <w:rsid w:val="71E13469"/>
    <w:rsid w:val="71E33685"/>
    <w:rsid w:val="71EA0570"/>
    <w:rsid w:val="71FE226D"/>
    <w:rsid w:val="720A29C0"/>
    <w:rsid w:val="72127AC6"/>
    <w:rsid w:val="72135E5F"/>
    <w:rsid w:val="722241AD"/>
    <w:rsid w:val="72233A82"/>
    <w:rsid w:val="72275320"/>
    <w:rsid w:val="723B2FA0"/>
    <w:rsid w:val="723D1802"/>
    <w:rsid w:val="723D4B43"/>
    <w:rsid w:val="724E4FA2"/>
    <w:rsid w:val="725105EF"/>
    <w:rsid w:val="72536115"/>
    <w:rsid w:val="725956F5"/>
    <w:rsid w:val="725A3947"/>
    <w:rsid w:val="726245AA"/>
    <w:rsid w:val="72693B8A"/>
    <w:rsid w:val="72697ED9"/>
    <w:rsid w:val="72822E9E"/>
    <w:rsid w:val="72930C07"/>
    <w:rsid w:val="72A314FA"/>
    <w:rsid w:val="72A42E14"/>
    <w:rsid w:val="72B14D59"/>
    <w:rsid w:val="72B34E05"/>
    <w:rsid w:val="72BD7A32"/>
    <w:rsid w:val="72C214EC"/>
    <w:rsid w:val="72C9287B"/>
    <w:rsid w:val="72C95783"/>
    <w:rsid w:val="72CE1173"/>
    <w:rsid w:val="72CE1DDD"/>
    <w:rsid w:val="72D52FCE"/>
    <w:rsid w:val="72D80D10"/>
    <w:rsid w:val="72D82ABE"/>
    <w:rsid w:val="72D92A69"/>
    <w:rsid w:val="72DA05E4"/>
    <w:rsid w:val="72DD00D4"/>
    <w:rsid w:val="72E17BC5"/>
    <w:rsid w:val="72E53E2F"/>
    <w:rsid w:val="72EB459F"/>
    <w:rsid w:val="72F6672A"/>
    <w:rsid w:val="72FA6ED8"/>
    <w:rsid w:val="72FC67AC"/>
    <w:rsid w:val="72FD2525"/>
    <w:rsid w:val="72FF629D"/>
    <w:rsid w:val="730218E9"/>
    <w:rsid w:val="730D5951"/>
    <w:rsid w:val="730D6C0C"/>
    <w:rsid w:val="730E028E"/>
    <w:rsid w:val="731004AA"/>
    <w:rsid w:val="7315786E"/>
    <w:rsid w:val="731A6C33"/>
    <w:rsid w:val="73214465"/>
    <w:rsid w:val="73221F8B"/>
    <w:rsid w:val="73240E16"/>
    <w:rsid w:val="73246FA0"/>
    <w:rsid w:val="7329331A"/>
    <w:rsid w:val="732E6B82"/>
    <w:rsid w:val="73306A07"/>
    <w:rsid w:val="73357F10"/>
    <w:rsid w:val="7343262D"/>
    <w:rsid w:val="734737A0"/>
    <w:rsid w:val="734F19AD"/>
    <w:rsid w:val="73532145"/>
    <w:rsid w:val="73552361"/>
    <w:rsid w:val="7358775B"/>
    <w:rsid w:val="735A1725"/>
    <w:rsid w:val="73700F48"/>
    <w:rsid w:val="73770529"/>
    <w:rsid w:val="73814F04"/>
    <w:rsid w:val="73830C7C"/>
    <w:rsid w:val="73832A2A"/>
    <w:rsid w:val="738A6D32"/>
    <w:rsid w:val="73946C51"/>
    <w:rsid w:val="739A7D73"/>
    <w:rsid w:val="73AA445A"/>
    <w:rsid w:val="73AB3D2F"/>
    <w:rsid w:val="73B2330F"/>
    <w:rsid w:val="73B76B77"/>
    <w:rsid w:val="73B85D83"/>
    <w:rsid w:val="73BF77DA"/>
    <w:rsid w:val="73C117A4"/>
    <w:rsid w:val="73C13552"/>
    <w:rsid w:val="73C24118"/>
    <w:rsid w:val="73C24FAE"/>
    <w:rsid w:val="73C3376E"/>
    <w:rsid w:val="73D019E7"/>
    <w:rsid w:val="73E13BF4"/>
    <w:rsid w:val="73E72EAE"/>
    <w:rsid w:val="73F2195D"/>
    <w:rsid w:val="73F92CEC"/>
    <w:rsid w:val="74031DBD"/>
    <w:rsid w:val="74145D78"/>
    <w:rsid w:val="741B2C62"/>
    <w:rsid w:val="741B7106"/>
    <w:rsid w:val="74220495"/>
    <w:rsid w:val="74281823"/>
    <w:rsid w:val="74363F40"/>
    <w:rsid w:val="74392575"/>
    <w:rsid w:val="743B1556"/>
    <w:rsid w:val="743B4721"/>
    <w:rsid w:val="744C3764"/>
    <w:rsid w:val="745368A0"/>
    <w:rsid w:val="74542618"/>
    <w:rsid w:val="745A523A"/>
    <w:rsid w:val="74602D6B"/>
    <w:rsid w:val="7467234B"/>
    <w:rsid w:val="74784559"/>
    <w:rsid w:val="74793E2D"/>
    <w:rsid w:val="747D391D"/>
    <w:rsid w:val="747E5633"/>
    <w:rsid w:val="74822CE1"/>
    <w:rsid w:val="74850A24"/>
    <w:rsid w:val="748527D2"/>
    <w:rsid w:val="74934EEE"/>
    <w:rsid w:val="749F45AC"/>
    <w:rsid w:val="74A470FC"/>
    <w:rsid w:val="74AC4202"/>
    <w:rsid w:val="74AC5FB0"/>
    <w:rsid w:val="74B60BDD"/>
    <w:rsid w:val="74B86703"/>
    <w:rsid w:val="74BB4445"/>
    <w:rsid w:val="74C90910"/>
    <w:rsid w:val="74CE55B2"/>
    <w:rsid w:val="74D55507"/>
    <w:rsid w:val="74D774D1"/>
    <w:rsid w:val="74DB14EF"/>
    <w:rsid w:val="74DD0860"/>
    <w:rsid w:val="74E27046"/>
    <w:rsid w:val="74E43528"/>
    <w:rsid w:val="74E4574A"/>
    <w:rsid w:val="74EB4D2A"/>
    <w:rsid w:val="74F811F5"/>
    <w:rsid w:val="75071439"/>
    <w:rsid w:val="751122B7"/>
    <w:rsid w:val="751F2C26"/>
    <w:rsid w:val="751F49D4"/>
    <w:rsid w:val="752108FC"/>
    <w:rsid w:val="75226272"/>
    <w:rsid w:val="75261CFE"/>
    <w:rsid w:val="75330480"/>
    <w:rsid w:val="75357D54"/>
    <w:rsid w:val="753A180E"/>
    <w:rsid w:val="753C7334"/>
    <w:rsid w:val="754601B3"/>
    <w:rsid w:val="75491A51"/>
    <w:rsid w:val="75504B8E"/>
    <w:rsid w:val="75581C94"/>
    <w:rsid w:val="756231B3"/>
    <w:rsid w:val="756643B1"/>
    <w:rsid w:val="75703482"/>
    <w:rsid w:val="757765BE"/>
    <w:rsid w:val="757F241A"/>
    <w:rsid w:val="758E56B6"/>
    <w:rsid w:val="758F1B5A"/>
    <w:rsid w:val="75900969"/>
    <w:rsid w:val="759E1D9D"/>
    <w:rsid w:val="759E3B4B"/>
    <w:rsid w:val="75A90742"/>
    <w:rsid w:val="75B0387E"/>
    <w:rsid w:val="75B07D22"/>
    <w:rsid w:val="75B415C0"/>
    <w:rsid w:val="75BE41ED"/>
    <w:rsid w:val="75C10104"/>
    <w:rsid w:val="75C612F4"/>
    <w:rsid w:val="75CB06B8"/>
    <w:rsid w:val="75CD4430"/>
    <w:rsid w:val="75CF63FA"/>
    <w:rsid w:val="75D03F20"/>
    <w:rsid w:val="75D532E5"/>
    <w:rsid w:val="75DA6B4D"/>
    <w:rsid w:val="75E874BC"/>
    <w:rsid w:val="75EA4FE2"/>
    <w:rsid w:val="75FE6CDF"/>
    <w:rsid w:val="76053BCA"/>
    <w:rsid w:val="76120095"/>
    <w:rsid w:val="76157B85"/>
    <w:rsid w:val="76194CAE"/>
    <w:rsid w:val="761C7166"/>
    <w:rsid w:val="76281FAE"/>
    <w:rsid w:val="762A7AD4"/>
    <w:rsid w:val="762B1157"/>
    <w:rsid w:val="76391AC6"/>
    <w:rsid w:val="763B3A90"/>
    <w:rsid w:val="763B75EC"/>
    <w:rsid w:val="765468FF"/>
    <w:rsid w:val="76564426"/>
    <w:rsid w:val="76593F16"/>
    <w:rsid w:val="765A35F1"/>
    <w:rsid w:val="765B5EE0"/>
    <w:rsid w:val="766E5C13"/>
    <w:rsid w:val="766F54E7"/>
    <w:rsid w:val="76742AFE"/>
    <w:rsid w:val="76764AC8"/>
    <w:rsid w:val="767B4C71"/>
    <w:rsid w:val="767D5E56"/>
    <w:rsid w:val="769211D6"/>
    <w:rsid w:val="76966F18"/>
    <w:rsid w:val="769720E3"/>
    <w:rsid w:val="769E7B7B"/>
    <w:rsid w:val="76A809F9"/>
    <w:rsid w:val="76AD7DBE"/>
    <w:rsid w:val="76B455F0"/>
    <w:rsid w:val="76B61368"/>
    <w:rsid w:val="76BA0E58"/>
    <w:rsid w:val="76C45833"/>
    <w:rsid w:val="76C53359"/>
    <w:rsid w:val="76C53858"/>
    <w:rsid w:val="76CD7C67"/>
    <w:rsid w:val="76D17F50"/>
    <w:rsid w:val="76D31DBC"/>
    <w:rsid w:val="76D42084"/>
    <w:rsid w:val="76D637B8"/>
    <w:rsid w:val="76D65566"/>
    <w:rsid w:val="76DF08BF"/>
    <w:rsid w:val="76EA2DC0"/>
    <w:rsid w:val="76F336CE"/>
    <w:rsid w:val="76F459ED"/>
    <w:rsid w:val="76F613BD"/>
    <w:rsid w:val="7701424B"/>
    <w:rsid w:val="770519A8"/>
    <w:rsid w:val="77057BFA"/>
    <w:rsid w:val="77075720"/>
    <w:rsid w:val="7709593C"/>
    <w:rsid w:val="770C71DA"/>
    <w:rsid w:val="77102BEE"/>
    <w:rsid w:val="771B11CB"/>
    <w:rsid w:val="771B741D"/>
    <w:rsid w:val="772269FE"/>
    <w:rsid w:val="7723569A"/>
    <w:rsid w:val="77244524"/>
    <w:rsid w:val="77274014"/>
    <w:rsid w:val="772C162A"/>
    <w:rsid w:val="772E7150"/>
    <w:rsid w:val="77387FCF"/>
    <w:rsid w:val="77422BFC"/>
    <w:rsid w:val="77424B81"/>
    <w:rsid w:val="77485E1F"/>
    <w:rsid w:val="7748610A"/>
    <w:rsid w:val="7750356B"/>
    <w:rsid w:val="7759307A"/>
    <w:rsid w:val="775A7F45"/>
    <w:rsid w:val="776808B4"/>
    <w:rsid w:val="77707769"/>
    <w:rsid w:val="77737259"/>
    <w:rsid w:val="77747C82"/>
    <w:rsid w:val="7783749C"/>
    <w:rsid w:val="778E5E41"/>
    <w:rsid w:val="7791148D"/>
    <w:rsid w:val="779C571A"/>
    <w:rsid w:val="779E42D6"/>
    <w:rsid w:val="77AA1492"/>
    <w:rsid w:val="77B31C43"/>
    <w:rsid w:val="77B51620"/>
    <w:rsid w:val="77B96808"/>
    <w:rsid w:val="77D0226F"/>
    <w:rsid w:val="77DC095A"/>
    <w:rsid w:val="77E43CB3"/>
    <w:rsid w:val="77E85551"/>
    <w:rsid w:val="77ED2B68"/>
    <w:rsid w:val="77F75794"/>
    <w:rsid w:val="77F84A9E"/>
    <w:rsid w:val="77FE6B23"/>
    <w:rsid w:val="77FF289B"/>
    <w:rsid w:val="780D4FB8"/>
    <w:rsid w:val="781400F4"/>
    <w:rsid w:val="781E71C5"/>
    <w:rsid w:val="781F637F"/>
    <w:rsid w:val="78226EDA"/>
    <w:rsid w:val="7826607A"/>
    <w:rsid w:val="78295F60"/>
    <w:rsid w:val="782A7918"/>
    <w:rsid w:val="782D7408"/>
    <w:rsid w:val="783C764B"/>
    <w:rsid w:val="783F0EE9"/>
    <w:rsid w:val="784C3B52"/>
    <w:rsid w:val="784D7AAA"/>
    <w:rsid w:val="7851759A"/>
    <w:rsid w:val="785901FD"/>
    <w:rsid w:val="7863107C"/>
    <w:rsid w:val="78650950"/>
    <w:rsid w:val="786A240A"/>
    <w:rsid w:val="78782D79"/>
    <w:rsid w:val="78801C2E"/>
    <w:rsid w:val="788039DC"/>
    <w:rsid w:val="78857244"/>
    <w:rsid w:val="788F1E71"/>
    <w:rsid w:val="7892370F"/>
    <w:rsid w:val="78941235"/>
    <w:rsid w:val="789E5895"/>
    <w:rsid w:val="78A376CA"/>
    <w:rsid w:val="78B96EEE"/>
    <w:rsid w:val="78C733B9"/>
    <w:rsid w:val="78CC09CF"/>
    <w:rsid w:val="78CF6711"/>
    <w:rsid w:val="78D019EA"/>
    <w:rsid w:val="78DA7590"/>
    <w:rsid w:val="78DE6954"/>
    <w:rsid w:val="78E24696"/>
    <w:rsid w:val="78E75809"/>
    <w:rsid w:val="78E87298"/>
    <w:rsid w:val="79015B23"/>
    <w:rsid w:val="79142376"/>
    <w:rsid w:val="79200D1B"/>
    <w:rsid w:val="79246A5D"/>
    <w:rsid w:val="792702FB"/>
    <w:rsid w:val="792B78C2"/>
    <w:rsid w:val="7932719C"/>
    <w:rsid w:val="79334EF2"/>
    <w:rsid w:val="793425DB"/>
    <w:rsid w:val="79352A18"/>
    <w:rsid w:val="794013BD"/>
    <w:rsid w:val="79425135"/>
    <w:rsid w:val="79427575"/>
    <w:rsid w:val="79440EAD"/>
    <w:rsid w:val="79450781"/>
    <w:rsid w:val="795A5FDB"/>
    <w:rsid w:val="795A710D"/>
    <w:rsid w:val="795D1F6F"/>
    <w:rsid w:val="796230E1"/>
    <w:rsid w:val="79660E24"/>
    <w:rsid w:val="7973709D"/>
    <w:rsid w:val="797846B3"/>
    <w:rsid w:val="79786DA9"/>
    <w:rsid w:val="797A48CF"/>
    <w:rsid w:val="798474FC"/>
    <w:rsid w:val="79873992"/>
    <w:rsid w:val="799409C7"/>
    <w:rsid w:val="79AB2CDA"/>
    <w:rsid w:val="79AE27CB"/>
    <w:rsid w:val="79C93160"/>
    <w:rsid w:val="79C97604"/>
    <w:rsid w:val="79CB512B"/>
    <w:rsid w:val="79CE0777"/>
    <w:rsid w:val="79CE69C9"/>
    <w:rsid w:val="79D42231"/>
    <w:rsid w:val="79DF0BD6"/>
    <w:rsid w:val="79E32474"/>
    <w:rsid w:val="79EB30D7"/>
    <w:rsid w:val="79ED27D0"/>
    <w:rsid w:val="79EF706B"/>
    <w:rsid w:val="79FA156C"/>
    <w:rsid w:val="79FC3536"/>
    <w:rsid w:val="7A010ABB"/>
    <w:rsid w:val="7A0128FA"/>
    <w:rsid w:val="7A024CAD"/>
    <w:rsid w:val="7A0A223C"/>
    <w:rsid w:val="7A0B3779"/>
    <w:rsid w:val="7A124B07"/>
    <w:rsid w:val="7A170370"/>
    <w:rsid w:val="7A1C7734"/>
    <w:rsid w:val="7A1D73D0"/>
    <w:rsid w:val="7A230AC3"/>
    <w:rsid w:val="7A24483B"/>
    <w:rsid w:val="7A2465E9"/>
    <w:rsid w:val="7A28432B"/>
    <w:rsid w:val="7A3F2F0C"/>
    <w:rsid w:val="7A4B6BCF"/>
    <w:rsid w:val="7A5F4F53"/>
    <w:rsid w:val="7A6115EB"/>
    <w:rsid w:val="7A612345"/>
    <w:rsid w:val="7A613399"/>
    <w:rsid w:val="7A6B4218"/>
    <w:rsid w:val="7A6D1D3E"/>
    <w:rsid w:val="7A74131E"/>
    <w:rsid w:val="7A7670BF"/>
    <w:rsid w:val="7A7833B4"/>
    <w:rsid w:val="7A8107D8"/>
    <w:rsid w:val="7A82417A"/>
    <w:rsid w:val="7A8B6668"/>
    <w:rsid w:val="7A8C4CBB"/>
    <w:rsid w:val="7A8F7F06"/>
    <w:rsid w:val="7A904C6A"/>
    <w:rsid w:val="7A925C48"/>
    <w:rsid w:val="7A9333BA"/>
    <w:rsid w:val="7A990D85"/>
    <w:rsid w:val="7AAC0428"/>
    <w:rsid w:val="7AAF67FA"/>
    <w:rsid w:val="7AB21E46"/>
    <w:rsid w:val="7ABA2EB3"/>
    <w:rsid w:val="7ABB519F"/>
    <w:rsid w:val="7AD16771"/>
    <w:rsid w:val="7ADB314B"/>
    <w:rsid w:val="7ADD5115"/>
    <w:rsid w:val="7AE53FCA"/>
    <w:rsid w:val="7AE85868"/>
    <w:rsid w:val="7AEF309B"/>
    <w:rsid w:val="7AF04DE5"/>
    <w:rsid w:val="7B046B46"/>
    <w:rsid w:val="7B0971C5"/>
    <w:rsid w:val="7B0A1C83"/>
    <w:rsid w:val="7B0A57DF"/>
    <w:rsid w:val="7B172D4D"/>
    <w:rsid w:val="7B175F61"/>
    <w:rsid w:val="7B176C3D"/>
    <w:rsid w:val="7B191EC6"/>
    <w:rsid w:val="7B2C39A7"/>
    <w:rsid w:val="7B2E771F"/>
    <w:rsid w:val="7B30793B"/>
    <w:rsid w:val="7B31720F"/>
    <w:rsid w:val="7B334D35"/>
    <w:rsid w:val="7B39121D"/>
    <w:rsid w:val="7B3F192C"/>
    <w:rsid w:val="7B411F6C"/>
    <w:rsid w:val="7B452CBB"/>
    <w:rsid w:val="7B494559"/>
    <w:rsid w:val="7B4A02D1"/>
    <w:rsid w:val="7B62561B"/>
    <w:rsid w:val="7B6E2211"/>
    <w:rsid w:val="7B71585E"/>
    <w:rsid w:val="7B722E45"/>
    <w:rsid w:val="7B7244ED"/>
    <w:rsid w:val="7B7B048A"/>
    <w:rsid w:val="7B803CF3"/>
    <w:rsid w:val="7B963516"/>
    <w:rsid w:val="7BA07EF1"/>
    <w:rsid w:val="7BA2010D"/>
    <w:rsid w:val="7BA81E38"/>
    <w:rsid w:val="7BA94FF8"/>
    <w:rsid w:val="7BAB0D70"/>
    <w:rsid w:val="7BB37C24"/>
    <w:rsid w:val="7BB73BB8"/>
    <w:rsid w:val="7BB816DF"/>
    <w:rsid w:val="7BBA0FB3"/>
    <w:rsid w:val="7BBC5A0D"/>
    <w:rsid w:val="7BD209F2"/>
    <w:rsid w:val="7BD535D9"/>
    <w:rsid w:val="7BE10C35"/>
    <w:rsid w:val="7BE44282"/>
    <w:rsid w:val="7BE97316"/>
    <w:rsid w:val="7BF5648F"/>
    <w:rsid w:val="7BF704DA"/>
    <w:rsid w:val="7BF85F7F"/>
    <w:rsid w:val="7C0466D2"/>
    <w:rsid w:val="7C0B5CB2"/>
    <w:rsid w:val="7C120DEF"/>
    <w:rsid w:val="7C124CBC"/>
    <w:rsid w:val="7C1F175E"/>
    <w:rsid w:val="7C1F52BA"/>
    <w:rsid w:val="7C246D74"/>
    <w:rsid w:val="7C2823C0"/>
    <w:rsid w:val="7C2A0C3E"/>
    <w:rsid w:val="7C305719"/>
    <w:rsid w:val="7C3074C7"/>
    <w:rsid w:val="7C3A6597"/>
    <w:rsid w:val="7C43369E"/>
    <w:rsid w:val="7C490589"/>
    <w:rsid w:val="7C4A67DB"/>
    <w:rsid w:val="7C507B69"/>
    <w:rsid w:val="7C593671"/>
    <w:rsid w:val="7C7A4BE6"/>
    <w:rsid w:val="7C7B2E38"/>
    <w:rsid w:val="7C7E0232"/>
    <w:rsid w:val="7C7E46D6"/>
    <w:rsid w:val="7C831CEC"/>
    <w:rsid w:val="7C86358B"/>
    <w:rsid w:val="7C8B770E"/>
    <w:rsid w:val="7C927774"/>
    <w:rsid w:val="7C9C4B5C"/>
    <w:rsid w:val="7C9E6B26"/>
    <w:rsid w:val="7CA852AF"/>
    <w:rsid w:val="7CB023B6"/>
    <w:rsid w:val="7CB9570E"/>
    <w:rsid w:val="7CBA0206"/>
    <w:rsid w:val="7CBE2D25"/>
    <w:rsid w:val="7CC876FF"/>
    <w:rsid w:val="7CD75B94"/>
    <w:rsid w:val="7CDC13FD"/>
    <w:rsid w:val="7CDD764F"/>
    <w:rsid w:val="7CE24C65"/>
    <w:rsid w:val="7CE64029"/>
    <w:rsid w:val="7CEA58C8"/>
    <w:rsid w:val="7CED53B8"/>
    <w:rsid w:val="7CEF1130"/>
    <w:rsid w:val="7CF60710"/>
    <w:rsid w:val="7D022412"/>
    <w:rsid w:val="7D036989"/>
    <w:rsid w:val="7D0A7D18"/>
    <w:rsid w:val="7D11554A"/>
    <w:rsid w:val="7D16490F"/>
    <w:rsid w:val="7D177580"/>
    <w:rsid w:val="7D1A49F0"/>
    <w:rsid w:val="7D2C5EE0"/>
    <w:rsid w:val="7D2E7EAA"/>
    <w:rsid w:val="7D3F36BC"/>
    <w:rsid w:val="7D4A5FFA"/>
    <w:rsid w:val="7D562F5D"/>
    <w:rsid w:val="7D5D253D"/>
    <w:rsid w:val="7D692C90"/>
    <w:rsid w:val="7D6A07B6"/>
    <w:rsid w:val="7D7D2BE0"/>
    <w:rsid w:val="7D803BD1"/>
    <w:rsid w:val="7D8F646F"/>
    <w:rsid w:val="7D935F5F"/>
    <w:rsid w:val="7D9615AC"/>
    <w:rsid w:val="7D9D2810"/>
    <w:rsid w:val="7DA4016C"/>
    <w:rsid w:val="7DA94EF7"/>
    <w:rsid w:val="7DB61C4E"/>
    <w:rsid w:val="7DBA173E"/>
    <w:rsid w:val="7DBA34EC"/>
    <w:rsid w:val="7DC223A1"/>
    <w:rsid w:val="7DD16A88"/>
    <w:rsid w:val="7DE22A43"/>
    <w:rsid w:val="7DEC38C1"/>
    <w:rsid w:val="7DF07878"/>
    <w:rsid w:val="7DF54524"/>
    <w:rsid w:val="7E026972"/>
    <w:rsid w:val="7E071D46"/>
    <w:rsid w:val="7E0E3838"/>
    <w:rsid w:val="7E0F2912"/>
    <w:rsid w:val="7E1626EC"/>
    <w:rsid w:val="7E1E7A82"/>
    <w:rsid w:val="7E2117BD"/>
    <w:rsid w:val="7E292420"/>
    <w:rsid w:val="7E2B6198"/>
    <w:rsid w:val="7E374B3D"/>
    <w:rsid w:val="7E3A462D"/>
    <w:rsid w:val="7E3C03A5"/>
    <w:rsid w:val="7E490D14"/>
    <w:rsid w:val="7E494870"/>
    <w:rsid w:val="7E516816"/>
    <w:rsid w:val="7E552153"/>
    <w:rsid w:val="7E584AB3"/>
    <w:rsid w:val="7E590F57"/>
    <w:rsid w:val="7E593FF5"/>
    <w:rsid w:val="7E5A4CCF"/>
    <w:rsid w:val="7E5F22E5"/>
    <w:rsid w:val="7E631DD5"/>
    <w:rsid w:val="7E652473"/>
    <w:rsid w:val="7E665422"/>
    <w:rsid w:val="7E6671D0"/>
    <w:rsid w:val="7E6C1230"/>
    <w:rsid w:val="7E6D4A02"/>
    <w:rsid w:val="7E6E75F1"/>
    <w:rsid w:val="7E764020"/>
    <w:rsid w:val="7E865AC4"/>
    <w:rsid w:val="7E885398"/>
    <w:rsid w:val="7E8E6727"/>
    <w:rsid w:val="7E924469"/>
    <w:rsid w:val="7E9401E1"/>
    <w:rsid w:val="7E9E4BBC"/>
    <w:rsid w:val="7EA36676"/>
    <w:rsid w:val="7EA47CF8"/>
    <w:rsid w:val="7EA63A70"/>
    <w:rsid w:val="7EB22415"/>
    <w:rsid w:val="7EB37321"/>
    <w:rsid w:val="7EBA1083"/>
    <w:rsid w:val="7EBE700C"/>
    <w:rsid w:val="7EC02D84"/>
    <w:rsid w:val="7EC14D4E"/>
    <w:rsid w:val="7EC23B12"/>
    <w:rsid w:val="7EC87E8B"/>
    <w:rsid w:val="7ECD734A"/>
    <w:rsid w:val="7ED76320"/>
    <w:rsid w:val="7EDB7BBE"/>
    <w:rsid w:val="7EDC56E4"/>
    <w:rsid w:val="7EDE145C"/>
    <w:rsid w:val="7EE50FD0"/>
    <w:rsid w:val="7EF46ED2"/>
    <w:rsid w:val="7EF50554"/>
    <w:rsid w:val="7EFD59FF"/>
    <w:rsid w:val="7F054C3B"/>
    <w:rsid w:val="7F08472B"/>
    <w:rsid w:val="7F0C363E"/>
    <w:rsid w:val="7F0C40C8"/>
    <w:rsid w:val="7F127358"/>
    <w:rsid w:val="7F160BF6"/>
    <w:rsid w:val="7F1906E6"/>
    <w:rsid w:val="7F2257ED"/>
    <w:rsid w:val="7F2326CD"/>
    <w:rsid w:val="7F2D1D52"/>
    <w:rsid w:val="7F2F1CB8"/>
    <w:rsid w:val="7F317939"/>
    <w:rsid w:val="7F392B36"/>
    <w:rsid w:val="7F4339B5"/>
    <w:rsid w:val="7F49010D"/>
    <w:rsid w:val="7F4C0ABC"/>
    <w:rsid w:val="7F4C7455"/>
    <w:rsid w:val="7F4D0390"/>
    <w:rsid w:val="7F586821"/>
    <w:rsid w:val="7F5D4342"/>
    <w:rsid w:val="7F606315"/>
    <w:rsid w:val="7F62208D"/>
    <w:rsid w:val="7F6A60F2"/>
    <w:rsid w:val="7F6C4CBA"/>
    <w:rsid w:val="7F6F47AA"/>
    <w:rsid w:val="7F7B6CAB"/>
    <w:rsid w:val="7F7D2A23"/>
    <w:rsid w:val="7F7E679B"/>
    <w:rsid w:val="7F820039"/>
    <w:rsid w:val="7F8738A2"/>
    <w:rsid w:val="7F8F6BFA"/>
    <w:rsid w:val="7F930498"/>
    <w:rsid w:val="7FA2248A"/>
    <w:rsid w:val="7FA51F7A"/>
    <w:rsid w:val="7FA75CF2"/>
    <w:rsid w:val="7FA93818"/>
    <w:rsid w:val="7FAC49FE"/>
    <w:rsid w:val="7FAE52D2"/>
    <w:rsid w:val="7FB126CD"/>
    <w:rsid w:val="7FB761F8"/>
    <w:rsid w:val="7FB977D3"/>
    <w:rsid w:val="7FBA3C77"/>
    <w:rsid w:val="7FBB179D"/>
    <w:rsid w:val="7FBD25CE"/>
    <w:rsid w:val="7FBD5515"/>
    <w:rsid w:val="7FC70142"/>
    <w:rsid w:val="7FD8234F"/>
    <w:rsid w:val="7FDF548C"/>
    <w:rsid w:val="7FE314AC"/>
    <w:rsid w:val="7FE5681A"/>
    <w:rsid w:val="7FF30F37"/>
    <w:rsid w:val="7FF52F01"/>
    <w:rsid w:val="7FFA40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67"/>
    <w:autoRedefine/>
    <w:qFormat/>
    <w:uiPriority w:val="0"/>
    <w:pPr>
      <w:keepLines/>
      <w:numPr>
        <w:ilvl w:val="0"/>
        <w:numId w:val="1"/>
      </w:numPr>
      <w:spacing w:line="360" w:lineRule="auto"/>
      <w:ind w:left="0" w:firstLine="420" w:firstLineChars="200"/>
      <w:jc w:val="left"/>
      <w:outlineLvl w:val="0"/>
    </w:pPr>
    <w:rPr>
      <w:rFonts w:ascii="Times New Roman" w:hAnsi="Times New Roman" w:eastAsia="仿宋"/>
      <w:b/>
      <w:bCs/>
      <w:kern w:val="44"/>
      <w:sz w:val="32"/>
      <w:szCs w:val="44"/>
    </w:rPr>
  </w:style>
  <w:style w:type="paragraph" w:styleId="4">
    <w:name w:val="heading 2"/>
    <w:basedOn w:val="1"/>
    <w:next w:val="1"/>
    <w:autoRedefine/>
    <w:qFormat/>
    <w:uiPriority w:val="0"/>
    <w:pPr>
      <w:keepLines/>
      <w:numPr>
        <w:ilvl w:val="1"/>
        <w:numId w:val="1"/>
      </w:numPr>
      <w:tabs>
        <w:tab w:val="left" w:pos="605"/>
      </w:tabs>
      <w:spacing w:before="60" w:after="60"/>
      <w:outlineLvl w:val="1"/>
    </w:pPr>
    <w:rPr>
      <w:rFonts w:eastAsia="黑体"/>
      <w:bCs/>
      <w:sz w:val="24"/>
      <w:szCs w:val="32"/>
    </w:rPr>
  </w:style>
  <w:style w:type="paragraph" w:styleId="5">
    <w:name w:val="heading 3"/>
    <w:basedOn w:val="1"/>
    <w:next w:val="3"/>
    <w:autoRedefine/>
    <w:qFormat/>
    <w:uiPriority w:val="0"/>
    <w:pPr>
      <w:widowControl/>
      <w:spacing w:before="60"/>
      <w:outlineLvl w:val="2"/>
    </w:pPr>
    <w:rPr>
      <w:rFonts w:eastAsia="黑体"/>
      <w:sz w:val="28"/>
      <w:szCs w:val="32"/>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link w:val="65"/>
    <w:autoRedefine/>
    <w:qFormat/>
    <w:uiPriority w:val="0"/>
    <w:pPr>
      <w:ind w:firstLine="420" w:firstLineChars="200"/>
    </w:pPr>
  </w:style>
  <w:style w:type="paragraph" w:styleId="6">
    <w:name w:val="caption"/>
    <w:basedOn w:val="1"/>
    <w:next w:val="1"/>
    <w:autoRedefine/>
    <w:unhideWhenUsed/>
    <w:qFormat/>
    <w:uiPriority w:val="0"/>
    <w:rPr>
      <w:rFonts w:eastAsia="黑体" w:asciiTheme="majorHAnsi" w:hAnsiTheme="majorHAnsi" w:cstheme="majorBidi"/>
      <w:sz w:val="20"/>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Body Text Indent"/>
    <w:basedOn w:val="1"/>
    <w:link w:val="66"/>
    <w:autoRedefine/>
    <w:qFormat/>
    <w:uiPriority w:val="0"/>
    <w:pPr>
      <w:spacing w:after="120"/>
      <w:ind w:left="420" w:leftChars="200"/>
    </w:pPr>
  </w:style>
  <w:style w:type="paragraph" w:styleId="10">
    <w:name w:val="toc 3"/>
    <w:basedOn w:val="1"/>
    <w:next w:val="1"/>
    <w:autoRedefine/>
    <w:semiHidden/>
    <w:qFormat/>
    <w:uiPriority w:val="0"/>
    <w:pPr>
      <w:ind w:left="840" w:leftChars="400"/>
    </w:pPr>
  </w:style>
  <w:style w:type="paragraph" w:styleId="11">
    <w:name w:val="Balloon Text"/>
    <w:basedOn w:val="1"/>
    <w:link w:val="50"/>
    <w:autoRedefine/>
    <w:qFormat/>
    <w:uiPriority w:val="0"/>
    <w:rPr>
      <w:sz w:val="18"/>
      <w:szCs w:val="18"/>
    </w:rPr>
  </w:style>
  <w:style w:type="paragraph" w:styleId="12">
    <w:name w:val="footer"/>
    <w:basedOn w:val="1"/>
    <w:autoRedefine/>
    <w:qFormat/>
    <w:uiPriority w:val="0"/>
    <w:pPr>
      <w:tabs>
        <w:tab w:val="center" w:pos="4153"/>
        <w:tab w:val="right" w:pos="8306"/>
      </w:tabs>
      <w:snapToGrid w:val="0"/>
      <w:jc w:val="left"/>
    </w:pPr>
    <w:rPr>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39"/>
  </w:style>
  <w:style w:type="paragraph" w:styleId="15">
    <w:name w:val="toc 2"/>
    <w:basedOn w:val="1"/>
    <w:next w:val="1"/>
    <w:autoRedefine/>
    <w:qFormat/>
    <w:uiPriority w:val="39"/>
    <w:pPr>
      <w:ind w:left="420" w:leftChars="200"/>
    </w:pPr>
  </w:style>
  <w:style w:type="paragraph" w:styleId="16">
    <w:name w:val="Normal (Web)"/>
    <w:basedOn w:val="1"/>
    <w:autoRedefine/>
    <w:qFormat/>
    <w:uiPriority w:val="0"/>
    <w:rPr>
      <w:sz w:val="24"/>
    </w:rPr>
  </w:style>
  <w:style w:type="paragraph" w:styleId="17">
    <w:name w:val="Title"/>
    <w:basedOn w:val="1"/>
    <w:autoRedefine/>
    <w:qFormat/>
    <w:uiPriority w:val="0"/>
    <w:pPr>
      <w:spacing w:before="240" w:after="60"/>
      <w:jc w:val="center"/>
      <w:outlineLvl w:val="0"/>
    </w:pPr>
    <w:rPr>
      <w:rFonts w:ascii="Arial" w:hAnsi="Arial" w:cs="Arial"/>
      <w:b/>
      <w:bCs/>
      <w:sz w:val="32"/>
      <w:szCs w:val="32"/>
    </w:rPr>
  </w:style>
  <w:style w:type="table" w:styleId="19">
    <w:name w:val="Table Grid"/>
    <w:basedOn w:val="18"/>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rPr>
  </w:style>
  <w:style w:type="character" w:styleId="22">
    <w:name w:val="page number"/>
    <w:basedOn w:val="20"/>
    <w:autoRedefine/>
    <w:qFormat/>
    <w:uiPriority w:val="0"/>
  </w:style>
  <w:style w:type="character" w:styleId="23">
    <w:name w:val="Hyperlink"/>
    <w:basedOn w:val="20"/>
    <w:autoRedefine/>
    <w:qFormat/>
    <w:uiPriority w:val="99"/>
    <w:rPr>
      <w:color w:val="0000FF"/>
      <w:u w:val="single"/>
    </w:rPr>
  </w:style>
  <w:style w:type="character" w:styleId="24">
    <w:name w:val="HTML Code"/>
    <w:autoRedefine/>
    <w:qFormat/>
    <w:uiPriority w:val="0"/>
    <w:rPr>
      <w:rFonts w:ascii="Courier New" w:hAnsi="Courier New"/>
      <w:sz w:val="20"/>
      <w:szCs w:val="20"/>
    </w:rPr>
  </w:style>
  <w:style w:type="paragraph" w:customStyle="1" w:styleId="25">
    <w:name w:val="Char"/>
    <w:basedOn w:val="1"/>
    <w:autoRedefine/>
    <w:qFormat/>
    <w:uiPriority w:val="0"/>
    <w:pPr>
      <w:tabs>
        <w:tab w:val="left" w:pos="720"/>
      </w:tabs>
      <w:ind w:left="720" w:hanging="360"/>
    </w:pPr>
    <w:rPr>
      <w:sz w:val="24"/>
    </w:rPr>
  </w:style>
  <w:style w:type="paragraph" w:customStyle="1" w:styleId="26">
    <w:name w:val="表内文字小"/>
    <w:basedOn w:val="1"/>
    <w:autoRedefine/>
    <w:qFormat/>
    <w:uiPriority w:val="0"/>
    <w:pPr>
      <w:adjustRightInd w:val="0"/>
      <w:snapToGrid w:val="0"/>
      <w:spacing w:beforeLines="15" w:afterLines="15" w:line="300" w:lineRule="auto"/>
      <w:ind w:firstLine="200" w:firstLineChars="200"/>
      <w:jc w:val="center"/>
    </w:pPr>
    <w:rPr>
      <w:sz w:val="18"/>
      <w:szCs w:val="18"/>
    </w:rPr>
  </w:style>
  <w:style w:type="paragraph" w:customStyle="1" w:styleId="27">
    <w:name w:val="表题"/>
    <w:basedOn w:val="9"/>
    <w:autoRedefine/>
    <w:qFormat/>
    <w:uiPriority w:val="0"/>
    <w:pPr>
      <w:tabs>
        <w:tab w:val="left" w:pos="4305"/>
      </w:tabs>
      <w:adjustRightInd w:val="0"/>
      <w:snapToGrid w:val="0"/>
      <w:spacing w:after="0"/>
      <w:ind w:left="0" w:leftChars="0" w:firstLine="200" w:firstLineChars="200"/>
      <w:jc w:val="center"/>
    </w:pPr>
    <w:rPr>
      <w:b/>
      <w:sz w:val="24"/>
    </w:rPr>
  </w:style>
  <w:style w:type="paragraph" w:customStyle="1" w:styleId="28">
    <w:name w:val="表内5"/>
    <w:basedOn w:val="1"/>
    <w:autoRedefine/>
    <w:qFormat/>
    <w:uiPriority w:val="0"/>
    <w:pPr>
      <w:adjustRightInd w:val="0"/>
      <w:snapToGrid w:val="0"/>
      <w:spacing w:line="300" w:lineRule="auto"/>
      <w:ind w:firstLine="200" w:firstLineChars="200"/>
      <w:jc w:val="center"/>
    </w:pPr>
    <w:rPr>
      <w:szCs w:val="21"/>
    </w:rPr>
  </w:style>
  <w:style w:type="paragraph" w:customStyle="1" w:styleId="29">
    <w:name w:val="附录标识"/>
    <w:basedOn w:val="1"/>
    <w:autoRedefine/>
    <w:qFormat/>
    <w:uiPriority w:val="0"/>
    <w:pPr>
      <w:widowControl/>
      <w:numPr>
        <w:ilvl w:val="0"/>
        <w:numId w:val="2"/>
      </w:numPr>
      <w:shd w:val="clear" w:color="FFFFFF" w:fill="FFFFFF"/>
      <w:tabs>
        <w:tab w:val="left" w:pos="6405"/>
      </w:tabs>
      <w:spacing w:before="640" w:after="200"/>
      <w:jc w:val="center"/>
      <w:outlineLvl w:val="0"/>
    </w:pPr>
    <w:rPr>
      <w:rFonts w:ascii="黑体" w:eastAsia="黑体" w:cs="黑体"/>
      <w:kern w:val="0"/>
      <w:szCs w:val="21"/>
    </w:rPr>
  </w:style>
  <w:style w:type="paragraph" w:customStyle="1" w:styleId="30">
    <w:name w:val="附录章标题"/>
    <w:next w:val="1"/>
    <w:autoRedefine/>
    <w:qFormat/>
    <w:uiPriority w:val="0"/>
    <w:pPr>
      <w:numPr>
        <w:ilvl w:val="1"/>
        <w:numId w:val="2"/>
      </w:numPr>
      <w:wordWrap w:val="0"/>
      <w:overflowPunct w:val="0"/>
      <w:autoSpaceDE w:val="0"/>
      <w:spacing w:beforeLines="50" w:afterLines="50"/>
      <w:jc w:val="both"/>
      <w:textAlignment w:val="baseline"/>
      <w:outlineLvl w:val="1"/>
    </w:pPr>
    <w:rPr>
      <w:rFonts w:ascii="黑体" w:hAnsi="Times New Roman" w:eastAsia="黑体" w:cs="黑体"/>
      <w:kern w:val="21"/>
      <w:sz w:val="21"/>
      <w:szCs w:val="21"/>
      <w:lang w:val="en-US" w:eastAsia="zh-CN" w:bidi="ar-SA"/>
    </w:rPr>
  </w:style>
  <w:style w:type="paragraph" w:customStyle="1" w:styleId="31">
    <w:name w:val="附录一级条标题"/>
    <w:basedOn w:val="30"/>
    <w:next w:val="1"/>
    <w:autoRedefine/>
    <w:qFormat/>
    <w:uiPriority w:val="0"/>
    <w:pPr>
      <w:numPr>
        <w:numId w:val="0"/>
      </w:numPr>
      <w:autoSpaceDN w:val="0"/>
      <w:spacing w:beforeLines="0"/>
      <w:outlineLvl w:val="2"/>
    </w:pPr>
  </w:style>
  <w:style w:type="paragraph" w:customStyle="1" w:styleId="32">
    <w:name w:val="附录二级条标题"/>
    <w:basedOn w:val="31"/>
    <w:next w:val="1"/>
    <w:autoRedefine/>
    <w:qFormat/>
    <w:uiPriority w:val="0"/>
    <w:pPr>
      <w:outlineLvl w:val="3"/>
    </w:pPr>
  </w:style>
  <w:style w:type="paragraph" w:customStyle="1" w:styleId="33">
    <w:name w:val="附录三级条标题"/>
    <w:basedOn w:val="32"/>
    <w:next w:val="1"/>
    <w:autoRedefine/>
    <w:qFormat/>
    <w:uiPriority w:val="0"/>
    <w:pPr>
      <w:outlineLvl w:val="4"/>
    </w:pPr>
  </w:style>
  <w:style w:type="paragraph" w:customStyle="1" w:styleId="34">
    <w:name w:val="附录四级条标题"/>
    <w:basedOn w:val="33"/>
    <w:next w:val="1"/>
    <w:autoRedefine/>
    <w:qFormat/>
    <w:uiPriority w:val="0"/>
    <w:pPr>
      <w:outlineLvl w:val="5"/>
    </w:pPr>
  </w:style>
  <w:style w:type="paragraph" w:customStyle="1" w:styleId="35">
    <w:name w:val="附录五级条标题"/>
    <w:basedOn w:val="34"/>
    <w:next w:val="1"/>
    <w:autoRedefine/>
    <w:qFormat/>
    <w:uiPriority w:val="0"/>
    <w:pPr>
      <w:outlineLvl w:val="6"/>
    </w:pPr>
  </w:style>
  <w:style w:type="paragraph" w:customStyle="1" w:styleId="36">
    <w:name w:val="前言、引言标题"/>
    <w:next w:val="1"/>
    <w:autoRedefine/>
    <w:qFormat/>
    <w:uiPriority w:val="0"/>
    <w:pPr>
      <w:numPr>
        <w:ilvl w:val="0"/>
        <w:numId w:val="3"/>
      </w:numPr>
      <w:shd w:val="clear" w:color="FFFFFF" w:fill="FFFFFF"/>
      <w:spacing w:before="640" w:after="560"/>
      <w:jc w:val="center"/>
      <w:outlineLvl w:val="0"/>
    </w:pPr>
    <w:rPr>
      <w:rFonts w:ascii="黑体" w:hAnsi="Times New Roman" w:eastAsia="黑体" w:cs="黑体"/>
      <w:sz w:val="32"/>
      <w:szCs w:val="32"/>
      <w:lang w:val="en-US" w:eastAsia="zh-CN" w:bidi="ar-SA"/>
    </w:rPr>
  </w:style>
  <w:style w:type="paragraph" w:customStyle="1" w:styleId="37">
    <w:name w:val="一级条标题"/>
    <w:basedOn w:val="1"/>
    <w:next w:val="1"/>
    <w:autoRedefine/>
    <w:qFormat/>
    <w:uiPriority w:val="0"/>
    <w:pPr>
      <w:widowControl/>
      <w:numPr>
        <w:ilvl w:val="2"/>
        <w:numId w:val="3"/>
      </w:numPr>
      <w:spacing w:line="300" w:lineRule="auto"/>
      <w:ind w:firstLine="200" w:firstLineChars="200"/>
      <w:outlineLvl w:val="2"/>
    </w:pPr>
    <w:rPr>
      <w:rFonts w:ascii="黑体" w:eastAsia="黑体" w:cs="黑体"/>
      <w:kern w:val="0"/>
      <w:szCs w:val="21"/>
    </w:rPr>
  </w:style>
  <w:style w:type="paragraph" w:customStyle="1" w:styleId="38">
    <w:name w:val="二级条标题"/>
    <w:basedOn w:val="37"/>
    <w:next w:val="1"/>
    <w:autoRedefine/>
    <w:qFormat/>
    <w:uiPriority w:val="0"/>
    <w:pPr>
      <w:numPr>
        <w:numId w:val="0"/>
      </w:numPr>
      <w:outlineLvl w:val="3"/>
    </w:pPr>
  </w:style>
  <w:style w:type="paragraph" w:customStyle="1" w:styleId="39">
    <w:name w:val="三级条标题"/>
    <w:basedOn w:val="38"/>
    <w:next w:val="1"/>
    <w:autoRedefine/>
    <w:qFormat/>
    <w:uiPriority w:val="0"/>
    <w:pPr>
      <w:outlineLvl w:val="4"/>
    </w:pPr>
  </w:style>
  <w:style w:type="paragraph" w:customStyle="1" w:styleId="40">
    <w:name w:val="四级条标题"/>
    <w:basedOn w:val="39"/>
    <w:next w:val="1"/>
    <w:autoRedefine/>
    <w:qFormat/>
    <w:uiPriority w:val="0"/>
    <w:pPr>
      <w:outlineLvl w:val="5"/>
    </w:pPr>
  </w:style>
  <w:style w:type="paragraph" w:customStyle="1" w:styleId="41">
    <w:name w:val="五级条标题"/>
    <w:basedOn w:val="40"/>
    <w:next w:val="1"/>
    <w:autoRedefine/>
    <w:qFormat/>
    <w:uiPriority w:val="0"/>
    <w:pPr>
      <w:outlineLvl w:val="6"/>
    </w:pPr>
  </w:style>
  <w:style w:type="paragraph" w:customStyle="1" w:styleId="42">
    <w:name w:val="封面标准文稿编辑信息"/>
    <w:autoRedefine/>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43">
    <w:name w:val="段"/>
    <w:autoRedefine/>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4">
    <w:name w:val="Char Char Char Char Char Char Char Char Char Char Char Char1 Char Char Char Char Char Char Char Char Char Char Char Char Char Char Char Char Char Char Char"/>
    <w:basedOn w:val="1"/>
    <w:autoRedefine/>
    <w:semiHidden/>
    <w:qFormat/>
    <w:uiPriority w:val="0"/>
    <w:pPr>
      <w:spacing w:line="360" w:lineRule="auto"/>
      <w:ind w:firstLine="200" w:firstLineChars="200"/>
    </w:pPr>
    <w:rPr>
      <w:rFonts w:ascii="黑体" w:hAnsi="黑体" w:eastAsia="黑体"/>
      <w:bCs/>
      <w:kern w:val="0"/>
      <w:szCs w:val="21"/>
    </w:rPr>
  </w:style>
  <w:style w:type="paragraph" w:customStyle="1" w:styleId="45">
    <w:name w:val="样式 (符号) 宋体 首行缩进:  1.01 厘米 行距: 多倍行距 1.2 字行"/>
    <w:basedOn w:val="1"/>
    <w:autoRedefine/>
    <w:qFormat/>
    <w:uiPriority w:val="0"/>
    <w:pPr>
      <w:spacing w:line="300" w:lineRule="auto"/>
      <w:ind w:firstLine="573" w:firstLineChars="200"/>
    </w:pPr>
    <w:rPr>
      <w:rFonts w:hAnsi="宋体" w:cs="宋体"/>
      <w:szCs w:val="20"/>
    </w:rPr>
  </w:style>
  <w:style w:type="paragraph" w:customStyle="1" w:styleId="46">
    <w:name w:val="样式 样式 标题 1 + 三号 + 首行缩进:  2 字符"/>
    <w:basedOn w:val="1"/>
    <w:autoRedefine/>
    <w:qFormat/>
    <w:uiPriority w:val="0"/>
    <w:pPr>
      <w:keepNext/>
      <w:keepLines/>
      <w:spacing w:line="360" w:lineRule="auto"/>
      <w:outlineLvl w:val="0"/>
    </w:pPr>
    <w:rPr>
      <w:rFonts w:cs="宋体"/>
      <w:b/>
      <w:bCs/>
      <w:kern w:val="44"/>
      <w:sz w:val="32"/>
      <w:szCs w:val="20"/>
    </w:rPr>
  </w:style>
  <w:style w:type="paragraph" w:customStyle="1" w:styleId="47">
    <w:name w:val="样式 样式 标题 21.1标题 21.1标题2 + 宋体 小三 + Times New Roman 首行缩进:  2 字符"/>
    <w:basedOn w:val="1"/>
    <w:autoRedefine/>
    <w:qFormat/>
    <w:uiPriority w:val="0"/>
    <w:pPr>
      <w:keepNext/>
      <w:keepLines/>
      <w:spacing w:line="360" w:lineRule="auto"/>
      <w:outlineLvl w:val="1"/>
    </w:pPr>
    <w:rPr>
      <w:rFonts w:cs="宋体"/>
      <w:b/>
      <w:bCs/>
      <w:sz w:val="28"/>
      <w:szCs w:val="20"/>
    </w:rPr>
  </w:style>
  <w:style w:type="paragraph" w:customStyle="1" w:styleId="48">
    <w:name w:val="样式 标题 3 + 首行缩进:  2 字符"/>
    <w:basedOn w:val="5"/>
    <w:autoRedefine/>
    <w:qFormat/>
    <w:uiPriority w:val="0"/>
    <w:pPr>
      <w:keepNext/>
      <w:keepLines/>
      <w:widowControl w:val="0"/>
      <w:adjustRightInd w:val="0"/>
      <w:snapToGrid w:val="0"/>
      <w:spacing w:line="360" w:lineRule="auto"/>
      <w:jc w:val="left"/>
    </w:pPr>
    <w:rPr>
      <w:rFonts w:eastAsia="宋体" w:cs="宋体"/>
      <w:b/>
      <w:bCs/>
      <w:sz w:val="24"/>
      <w:szCs w:val="20"/>
    </w:rPr>
  </w:style>
  <w:style w:type="paragraph" w:customStyle="1" w:styleId="49">
    <w:name w:val="Default"/>
    <w:autoRedefine/>
    <w:qFormat/>
    <w:uiPriority w:val="0"/>
    <w:pPr>
      <w:widowControl w:val="0"/>
      <w:autoSpaceDE w:val="0"/>
      <w:autoSpaceDN w:val="0"/>
      <w:adjustRightInd w:val="0"/>
    </w:pPr>
    <w:rPr>
      <w:rFonts w:ascii="H Yb 1gj" w:hAnsi="Times New Roman" w:eastAsia="H Yb 1gj" w:cs="H Yb 1gj"/>
      <w:color w:val="000000"/>
      <w:sz w:val="24"/>
      <w:szCs w:val="24"/>
      <w:lang w:val="en-US" w:eastAsia="zh-CN" w:bidi="ar-SA"/>
    </w:rPr>
  </w:style>
  <w:style w:type="character" w:customStyle="1" w:styleId="50">
    <w:name w:val="批注框文本 字符"/>
    <w:basedOn w:val="20"/>
    <w:link w:val="11"/>
    <w:autoRedefine/>
    <w:qFormat/>
    <w:uiPriority w:val="0"/>
    <w:rPr>
      <w:kern w:val="2"/>
      <w:sz w:val="18"/>
      <w:szCs w:val="18"/>
    </w:rPr>
  </w:style>
  <w:style w:type="paragraph" w:customStyle="1" w:styleId="51">
    <w:name w:val="表格内容"/>
    <w:basedOn w:val="1"/>
    <w:autoRedefine/>
    <w:qFormat/>
    <w:uiPriority w:val="0"/>
    <w:pPr>
      <w:spacing w:line="240" w:lineRule="exact"/>
      <w:ind w:firstLine="0" w:firstLineChars="0"/>
      <w:jc w:val="center"/>
    </w:pPr>
    <w:rPr>
      <w:sz w:val="18"/>
    </w:rPr>
  </w:style>
  <w:style w:type="paragraph" w:customStyle="1" w:styleId="52">
    <w:name w:val="字母编号列项（一级）"/>
    <w:autoRedefine/>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53">
    <w:name w:val="标准文件_二级条标题"/>
    <w:next w:val="54"/>
    <w:autoRedefine/>
    <w:qFormat/>
    <w:uiPriority w:val="0"/>
    <w:pPr>
      <w:widowControl w:val="0"/>
      <w:numPr>
        <w:ilvl w:val="3"/>
        <w:numId w:val="3"/>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54">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5">
    <w:name w:val="标准文件_字母编号列项（一级）"/>
    <w:autoRedefine/>
    <w:qFormat/>
    <w:uiPriority w:val="0"/>
    <w:pPr>
      <w:numPr>
        <w:ilvl w:val="0"/>
        <w:numId w:val="4"/>
      </w:numPr>
      <w:jc w:val="both"/>
    </w:pPr>
    <w:rPr>
      <w:rFonts w:ascii="宋体" w:hAnsi="Times New Roman" w:eastAsia="宋体" w:cs="Times New Roman"/>
      <w:sz w:val="21"/>
      <w:lang w:val="en-US" w:eastAsia="zh-CN" w:bidi="ar-SA"/>
    </w:rPr>
  </w:style>
  <w:style w:type="paragraph" w:customStyle="1" w:styleId="56">
    <w:name w:val="标准文件_正文表标题"/>
    <w:next w:val="54"/>
    <w:autoRedefine/>
    <w:qFormat/>
    <w:uiPriority w:val="0"/>
    <w:pPr>
      <w:numPr>
        <w:ilvl w:val="0"/>
        <w:numId w:val="5"/>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57">
    <w:name w:val="标准文件_注×："/>
    <w:autoRedefine/>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58">
    <w:name w:val="标准文件_表格"/>
    <w:basedOn w:val="54"/>
    <w:autoRedefine/>
    <w:qFormat/>
    <w:uiPriority w:val="0"/>
    <w:pPr>
      <w:ind w:firstLine="0" w:firstLineChars="0"/>
      <w:jc w:val="center"/>
    </w:pPr>
    <w:rPr>
      <w:sz w:val="18"/>
    </w:rPr>
  </w:style>
  <w:style w:type="paragraph" w:customStyle="1" w:styleId="59">
    <w:name w:val="标准文件_四级无标题"/>
    <w:basedOn w:val="60"/>
    <w:autoRedefine/>
    <w:qFormat/>
    <w:uiPriority w:val="0"/>
    <w:pPr>
      <w:spacing w:before="0" w:beforeLines="0" w:after="0" w:afterLines="0"/>
      <w:outlineLvl w:val="9"/>
    </w:pPr>
    <w:rPr>
      <w:rFonts w:ascii="宋体" w:hAnsi="黑体" w:eastAsia="宋体"/>
      <w:szCs w:val="52"/>
    </w:rPr>
  </w:style>
  <w:style w:type="paragraph" w:customStyle="1" w:styleId="60">
    <w:name w:val="标准文件_四级条标题"/>
    <w:next w:val="54"/>
    <w:autoRedefine/>
    <w:qFormat/>
    <w:uiPriority w:val="0"/>
    <w:pPr>
      <w:widowControl w:val="0"/>
      <w:numPr>
        <w:ilvl w:val="5"/>
        <w:numId w:val="3"/>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61">
    <w:name w:val="表格标题"/>
    <w:basedOn w:val="1"/>
    <w:autoRedefine/>
    <w:qFormat/>
    <w:uiPriority w:val="0"/>
    <w:pPr>
      <w:ind w:firstLine="0" w:firstLineChars="0"/>
      <w:jc w:val="center"/>
    </w:pPr>
    <w:rPr>
      <w:rFonts w:ascii="宋体" w:hAnsi="宋体"/>
      <w:sz w:val="24"/>
    </w:rPr>
  </w:style>
  <w:style w:type="paragraph" w:customStyle="1" w:styleId="62">
    <w:name w:val="标准文件_一级无标题"/>
    <w:basedOn w:val="63"/>
    <w:autoRedefine/>
    <w:qFormat/>
    <w:uiPriority w:val="0"/>
    <w:pPr>
      <w:spacing w:before="0" w:beforeLines="0" w:after="0" w:afterLines="0"/>
      <w:outlineLvl w:val="9"/>
    </w:pPr>
    <w:rPr>
      <w:rFonts w:ascii="宋体" w:eastAsia="宋体"/>
    </w:rPr>
  </w:style>
  <w:style w:type="paragraph" w:customStyle="1" w:styleId="63">
    <w:name w:val="标准文件_一级条标题"/>
    <w:basedOn w:val="64"/>
    <w:next w:val="54"/>
    <w:autoRedefine/>
    <w:qFormat/>
    <w:uiPriority w:val="0"/>
    <w:pPr>
      <w:numPr>
        <w:ilvl w:val="2"/>
      </w:numPr>
      <w:spacing w:before="50" w:beforeLines="50" w:after="50" w:afterLines="50"/>
      <w:outlineLvl w:val="1"/>
    </w:pPr>
  </w:style>
  <w:style w:type="paragraph" w:customStyle="1" w:styleId="64">
    <w:name w:val="标准文件_章标题"/>
    <w:next w:val="54"/>
    <w:autoRedefine/>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65">
    <w:name w:val="正文缩进 Char"/>
    <w:link w:val="3"/>
    <w:autoRedefine/>
    <w:qFormat/>
    <w:uiPriority w:val="0"/>
  </w:style>
  <w:style w:type="character" w:customStyle="1" w:styleId="66">
    <w:name w:val="正文文本缩进 Char"/>
    <w:link w:val="9"/>
    <w:autoRedefine/>
    <w:qFormat/>
    <w:uiPriority w:val="0"/>
  </w:style>
  <w:style w:type="character" w:customStyle="1" w:styleId="67">
    <w:name w:val="标题 1 Char"/>
    <w:link w:val="2"/>
    <w:autoRedefine/>
    <w:qFormat/>
    <w:uiPriority w:val="0"/>
    <w:rPr>
      <w:rFonts w:ascii="Times New Roman" w:hAnsi="Times New Roman" w:eastAsia="仿宋"/>
      <w:b/>
      <w:bCs/>
      <w:kern w:val="44"/>
      <w:sz w:val="32"/>
      <w:szCs w:val="44"/>
    </w:rPr>
  </w:style>
  <w:style w:type="character" w:customStyle="1" w:styleId="68">
    <w:name w:val="font11"/>
    <w:basedOn w:val="20"/>
    <w:autoRedefine/>
    <w:qFormat/>
    <w:uiPriority w:val="0"/>
    <w:rPr>
      <w:rFonts w:hint="eastAsia" w:ascii="宋体" w:hAnsi="宋体" w:eastAsia="宋体" w:cs="宋体"/>
      <w:b/>
      <w:bCs/>
      <w:color w:val="000000"/>
      <w:sz w:val="22"/>
      <w:szCs w:val="22"/>
      <w:u w:val="none"/>
    </w:rPr>
  </w:style>
  <w:style w:type="character" w:customStyle="1" w:styleId="69">
    <w:name w:val="font01"/>
    <w:basedOn w:val="20"/>
    <w:autoRedefine/>
    <w:qFormat/>
    <w:uiPriority w:val="0"/>
    <w:rPr>
      <w:rFonts w:hint="eastAsia" w:ascii="宋体" w:hAnsi="宋体" w:eastAsia="宋体" w:cs="宋体"/>
      <w:color w:val="000000"/>
      <w:sz w:val="22"/>
      <w:szCs w:val="22"/>
      <w:u w:val="none"/>
    </w:rPr>
  </w:style>
  <w:style w:type="character" w:customStyle="1" w:styleId="70">
    <w:name w:val="font21"/>
    <w:basedOn w:val="20"/>
    <w:autoRedefine/>
    <w:qFormat/>
    <w:uiPriority w:val="0"/>
    <w:rPr>
      <w:rFonts w:hint="default" w:ascii="Times New Roman" w:hAnsi="Times New Roman" w:cs="Times New Roman"/>
      <w:color w:val="000000"/>
      <w:sz w:val="22"/>
      <w:szCs w:val="22"/>
      <w:u w:val="none"/>
    </w:rPr>
  </w:style>
  <w:style w:type="character" w:customStyle="1" w:styleId="71">
    <w:name w:val="font31"/>
    <w:basedOn w:val="20"/>
    <w:autoRedefine/>
    <w:qFormat/>
    <w:uiPriority w:val="0"/>
    <w:rPr>
      <w:rFonts w:hint="default" w:ascii="Times New Roman" w:hAnsi="Times New Roman" w:cs="Times New Roman"/>
      <w:color w:val="000000"/>
      <w:sz w:val="22"/>
      <w:szCs w:val="22"/>
      <w:u w:val="none"/>
    </w:rPr>
  </w:style>
  <w:style w:type="paragraph" w:customStyle="1" w:styleId="72">
    <w:name w:val="标准文件_术语条一"/>
    <w:basedOn w:val="62"/>
    <w:next w:val="54"/>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WwW.YlmF.CoM</Company>
  <Pages>24</Pages>
  <Words>12188</Words>
  <Characters>12441</Characters>
  <Lines>1</Lines>
  <Paragraphs>1</Paragraphs>
  <TotalTime>0</TotalTime>
  <ScaleCrop>false</ScaleCrop>
  <LinksUpToDate>false</LinksUpToDate>
  <CharactersWithSpaces>12479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2018-05-20T22:23:00Z</dcterms:created>
  <dc:creator>雨林木风</dc:creator>
  <cp:lastModifiedBy>晴天薇</cp:lastModifiedBy>
  <cp:lastPrinted>2024-04-30T09:48:00Z</cp:lastPrinted>
  <dcterms:modified xsi:type="dcterms:W3CDTF">2026-05-07T01:32:06Z</dcterms:modified>
  <dc:title>《石油炼制工业污染物排放标准》</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97AA5E53F7BC48F792AD25F2C1DEEAA8_13</vt:lpwstr>
  </property>
  <property fmtid="{D5CDD505-2E9C-101B-9397-08002B2CF9AE}" pid="4" name="KSOTemplateDocerSaveRecord">
    <vt:lpwstr>eyJoZGlkIjoiODNlMzc1Y2UzMTBkZmVlMzdlM2NmNjU2YmM0NGM2ZmEiLCJ1c2VySWQiOiIyOTk3MTc2MzYifQ==</vt:lpwstr>
  </property>
</Properties>
</file>