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2B183">
      <w:pPr>
        <w:rPr>
          <w:sz w:val="32"/>
        </w:rPr>
      </w:pPr>
    </w:p>
    <w:p w14:paraId="5A420DF0">
      <w:pPr>
        <w:jc w:val="center"/>
        <w:rPr>
          <w:sz w:val="32"/>
        </w:rPr>
      </w:pPr>
    </w:p>
    <w:p w14:paraId="2DCD318C">
      <w:pPr>
        <w:jc w:val="center"/>
        <w:rPr>
          <w:sz w:val="32"/>
        </w:rPr>
      </w:pPr>
    </w:p>
    <w:p w14:paraId="11063DD1">
      <w:pPr>
        <w:snapToGrid w:val="0"/>
        <w:spacing w:line="360" w:lineRule="auto"/>
        <w:jc w:val="center"/>
        <w:rPr>
          <w:rFonts w:ascii="宋体" w:hAnsi="宋体"/>
          <w:sz w:val="44"/>
          <w:szCs w:val="44"/>
        </w:rPr>
      </w:pPr>
      <w:r>
        <w:rPr>
          <w:rFonts w:hint="eastAsia" w:ascii="宋体" w:hAnsi="宋体"/>
          <w:sz w:val="44"/>
          <w:szCs w:val="44"/>
        </w:rPr>
        <w:t>《绿色公路等级评价标准》</w:t>
      </w:r>
    </w:p>
    <w:p w14:paraId="1CB51B2D">
      <w:pPr>
        <w:snapToGrid w:val="0"/>
        <w:spacing w:line="360" w:lineRule="auto"/>
        <w:jc w:val="center"/>
        <w:rPr>
          <w:rFonts w:ascii="宋体" w:hAnsi="宋体"/>
          <w:sz w:val="44"/>
          <w:szCs w:val="44"/>
        </w:rPr>
      </w:pPr>
      <w:r>
        <w:rPr>
          <w:rFonts w:hint="eastAsia" w:ascii="宋体" w:hAnsi="宋体"/>
          <w:sz w:val="44"/>
          <w:szCs w:val="44"/>
        </w:rPr>
        <w:t>（</w:t>
      </w:r>
      <w:r>
        <w:rPr>
          <w:rFonts w:hint="eastAsia" w:ascii="宋体" w:hAnsi="宋体"/>
          <w:sz w:val="44"/>
          <w:szCs w:val="44"/>
          <w:lang w:val="en-US" w:eastAsia="zh-CN"/>
        </w:rPr>
        <w:t>征求意见</w:t>
      </w:r>
      <w:r>
        <w:rPr>
          <w:rFonts w:hint="eastAsia" w:ascii="宋体" w:hAnsi="宋体"/>
          <w:sz w:val="44"/>
          <w:szCs w:val="44"/>
        </w:rPr>
        <w:t>稿）</w:t>
      </w:r>
    </w:p>
    <w:p w14:paraId="02DCC953">
      <w:pPr>
        <w:snapToGrid w:val="0"/>
        <w:spacing w:line="360" w:lineRule="auto"/>
        <w:jc w:val="center"/>
        <w:rPr>
          <w:rFonts w:ascii="宋体" w:hAnsi="宋体"/>
          <w:sz w:val="44"/>
          <w:szCs w:val="44"/>
        </w:rPr>
      </w:pPr>
      <w:r>
        <w:rPr>
          <w:rFonts w:hint="eastAsia" w:ascii="宋体" w:hAnsi="宋体"/>
          <w:sz w:val="44"/>
          <w:szCs w:val="44"/>
        </w:rPr>
        <w:t>编制说明</w:t>
      </w:r>
    </w:p>
    <w:p w14:paraId="6A8EA4F9">
      <w:pPr>
        <w:snapToGrid w:val="0"/>
        <w:spacing w:line="360" w:lineRule="auto"/>
        <w:jc w:val="center"/>
        <w:rPr>
          <w:rFonts w:ascii="宋体" w:hAnsi="宋体"/>
          <w:sz w:val="44"/>
          <w:szCs w:val="44"/>
        </w:rPr>
      </w:pPr>
    </w:p>
    <w:p w14:paraId="632315F6">
      <w:pPr>
        <w:snapToGrid w:val="0"/>
        <w:spacing w:line="360" w:lineRule="auto"/>
        <w:jc w:val="center"/>
        <w:rPr>
          <w:rFonts w:ascii="宋体" w:hAnsi="宋体"/>
          <w:sz w:val="44"/>
          <w:szCs w:val="44"/>
        </w:rPr>
      </w:pPr>
    </w:p>
    <w:p w14:paraId="4C618771">
      <w:pPr>
        <w:snapToGrid w:val="0"/>
        <w:spacing w:line="360" w:lineRule="auto"/>
        <w:jc w:val="center"/>
        <w:rPr>
          <w:sz w:val="32"/>
        </w:rPr>
      </w:pPr>
    </w:p>
    <w:p w14:paraId="32A3E011">
      <w:pPr>
        <w:snapToGrid w:val="0"/>
        <w:spacing w:line="360" w:lineRule="auto"/>
        <w:jc w:val="center"/>
        <w:rPr>
          <w:sz w:val="32"/>
        </w:rPr>
      </w:pPr>
    </w:p>
    <w:p w14:paraId="13319112">
      <w:pPr>
        <w:snapToGrid w:val="0"/>
        <w:spacing w:line="360" w:lineRule="auto"/>
        <w:jc w:val="center"/>
        <w:rPr>
          <w:sz w:val="32"/>
        </w:rPr>
      </w:pPr>
    </w:p>
    <w:p w14:paraId="13E11F5C">
      <w:pPr>
        <w:snapToGrid w:val="0"/>
        <w:spacing w:line="360" w:lineRule="auto"/>
        <w:jc w:val="center"/>
        <w:rPr>
          <w:sz w:val="32"/>
        </w:rPr>
      </w:pPr>
    </w:p>
    <w:p w14:paraId="7E215082">
      <w:pPr>
        <w:snapToGrid w:val="0"/>
        <w:spacing w:line="360" w:lineRule="auto"/>
        <w:jc w:val="center"/>
        <w:rPr>
          <w:sz w:val="32"/>
        </w:rPr>
      </w:pPr>
    </w:p>
    <w:p w14:paraId="30B926A1">
      <w:pPr>
        <w:snapToGrid w:val="0"/>
        <w:spacing w:line="360" w:lineRule="auto"/>
        <w:jc w:val="center"/>
        <w:rPr>
          <w:sz w:val="32"/>
        </w:rPr>
      </w:pPr>
    </w:p>
    <w:p w14:paraId="1754B07A">
      <w:pPr>
        <w:snapToGrid w:val="0"/>
        <w:spacing w:line="360" w:lineRule="auto"/>
        <w:jc w:val="center"/>
        <w:rPr>
          <w:sz w:val="32"/>
        </w:rPr>
      </w:pPr>
    </w:p>
    <w:p w14:paraId="130855EC">
      <w:pPr>
        <w:snapToGrid w:val="0"/>
        <w:spacing w:line="360" w:lineRule="auto"/>
        <w:jc w:val="center"/>
        <w:rPr>
          <w:sz w:val="32"/>
        </w:rPr>
      </w:pPr>
    </w:p>
    <w:p w14:paraId="5E24362C">
      <w:pPr>
        <w:snapToGrid w:val="0"/>
        <w:spacing w:line="360" w:lineRule="auto"/>
        <w:jc w:val="center"/>
        <w:rPr>
          <w:sz w:val="32"/>
        </w:rPr>
      </w:pPr>
    </w:p>
    <w:p w14:paraId="188EC581">
      <w:pPr>
        <w:snapToGrid w:val="0"/>
        <w:spacing w:line="360" w:lineRule="auto"/>
        <w:jc w:val="center"/>
        <w:rPr>
          <w:sz w:val="32"/>
        </w:rPr>
      </w:pPr>
    </w:p>
    <w:p w14:paraId="0D02C9ED">
      <w:pPr>
        <w:snapToGrid w:val="0"/>
        <w:spacing w:line="360" w:lineRule="auto"/>
        <w:jc w:val="center"/>
        <w:rPr>
          <w:sz w:val="32"/>
        </w:rPr>
      </w:pPr>
      <w:r>
        <w:rPr>
          <w:rFonts w:hint="eastAsia"/>
          <w:sz w:val="32"/>
        </w:rPr>
        <w:t>《</w:t>
      </w:r>
      <w:r>
        <w:rPr>
          <w:rFonts w:hint="eastAsia" w:ascii="宋体" w:hAnsi="宋体"/>
          <w:sz w:val="32"/>
          <w:szCs w:val="32"/>
        </w:rPr>
        <w:t>绿色公路等级评价标准</w:t>
      </w:r>
      <w:r>
        <w:rPr>
          <w:rFonts w:hint="eastAsia"/>
          <w:sz w:val="32"/>
        </w:rPr>
        <w:t>》编制组</w:t>
      </w:r>
    </w:p>
    <w:p w14:paraId="6902A23F">
      <w:pPr>
        <w:autoSpaceDE w:val="0"/>
        <w:autoSpaceDN w:val="0"/>
        <w:adjustRightInd w:val="0"/>
        <w:snapToGrid w:val="0"/>
        <w:spacing w:line="360" w:lineRule="auto"/>
        <w:jc w:val="center"/>
        <w:rPr>
          <w:rFonts w:hint="eastAsia" w:ascii="宋体" w:cs="宋体"/>
          <w:kern w:val="0"/>
          <w:sz w:val="28"/>
          <w:szCs w:val="28"/>
        </w:rPr>
      </w:pPr>
      <w:r>
        <w:rPr>
          <w:rFonts w:hint="eastAsia" w:ascii="宋体" w:cs="宋体"/>
          <w:kern w:val="0"/>
          <w:sz w:val="28"/>
          <w:szCs w:val="28"/>
        </w:rPr>
        <w:t>二〇</w:t>
      </w:r>
      <w:r>
        <w:rPr>
          <w:rFonts w:hint="eastAsia" w:ascii="宋体" w:cs="宋体"/>
          <w:kern w:val="0"/>
          <w:sz w:val="28"/>
          <w:szCs w:val="28"/>
          <w:lang w:val="en-US" w:eastAsia="zh-CN"/>
        </w:rPr>
        <w:t>二六</w:t>
      </w:r>
      <w:r>
        <w:rPr>
          <w:rFonts w:hint="eastAsia" w:ascii="宋体" w:cs="宋体"/>
          <w:kern w:val="0"/>
          <w:sz w:val="28"/>
          <w:szCs w:val="28"/>
        </w:rPr>
        <w:t>年</w:t>
      </w:r>
      <w:r>
        <w:rPr>
          <w:rFonts w:hint="eastAsia" w:ascii="宋体" w:cs="宋体"/>
          <w:kern w:val="0"/>
          <w:sz w:val="28"/>
          <w:szCs w:val="28"/>
          <w:lang w:val="en-US" w:eastAsia="zh-CN"/>
        </w:rPr>
        <w:t>四</w:t>
      </w:r>
      <w:r>
        <w:rPr>
          <w:rFonts w:hint="eastAsia" w:ascii="宋体" w:cs="宋体"/>
          <w:kern w:val="0"/>
          <w:sz w:val="28"/>
          <w:szCs w:val="28"/>
        </w:rPr>
        <w:t>月</w:t>
      </w:r>
    </w:p>
    <w:p w14:paraId="51B84760">
      <w:pPr>
        <w:autoSpaceDE w:val="0"/>
        <w:autoSpaceDN w:val="0"/>
        <w:adjustRightInd w:val="0"/>
        <w:snapToGrid w:val="0"/>
        <w:spacing w:line="360" w:lineRule="auto"/>
        <w:jc w:val="center"/>
        <w:rPr>
          <w:rFonts w:hint="eastAsia" w:ascii="宋体" w:cs="宋体"/>
          <w:kern w:val="0"/>
          <w:sz w:val="28"/>
          <w:szCs w:val="28"/>
        </w:rPr>
      </w:pPr>
    </w:p>
    <w:p w14:paraId="6F8F70AE">
      <w:pPr>
        <w:autoSpaceDE w:val="0"/>
        <w:autoSpaceDN w:val="0"/>
        <w:adjustRightInd w:val="0"/>
        <w:snapToGrid w:val="0"/>
        <w:spacing w:line="360" w:lineRule="auto"/>
        <w:jc w:val="center"/>
        <w:rPr>
          <w:rFonts w:ascii="宋体" w:cs="宋体"/>
          <w:kern w:val="0"/>
          <w:sz w:val="28"/>
          <w:szCs w:val="28"/>
        </w:rPr>
      </w:pPr>
    </w:p>
    <w:p w14:paraId="1565AAAD">
      <w:pPr>
        <w:jc w:val="center"/>
        <w:rPr>
          <w:rFonts w:ascii="宋体" w:hAnsi="宋体"/>
          <w:sz w:val="36"/>
          <w:szCs w:val="36"/>
        </w:rPr>
      </w:pPr>
      <w:r>
        <w:rPr>
          <w:rFonts w:hint="eastAsia" w:ascii="宋体" w:hAnsi="宋体"/>
          <w:sz w:val="36"/>
          <w:szCs w:val="36"/>
        </w:rPr>
        <w:t xml:space="preserve">目 </w:t>
      </w:r>
      <w:bookmarkStart w:id="47" w:name="_GoBack"/>
      <w:bookmarkEnd w:id="47"/>
      <w:r>
        <w:rPr>
          <w:rFonts w:hint="eastAsia" w:ascii="宋体" w:hAnsi="宋体"/>
          <w:sz w:val="36"/>
          <w:szCs w:val="36"/>
        </w:rPr>
        <w:t xml:space="preserve"> 次</w:t>
      </w:r>
    </w:p>
    <w:p w14:paraId="4C551032">
      <w:pPr>
        <w:jc w:val="center"/>
        <w:rPr>
          <w:rFonts w:ascii="宋体" w:hAnsi="宋体"/>
          <w:sz w:val="36"/>
          <w:szCs w:val="36"/>
        </w:rPr>
      </w:pPr>
    </w:p>
    <w:p w14:paraId="69C3F81E">
      <w:pPr>
        <w:pStyle w:val="9"/>
        <w:tabs>
          <w:tab w:val="right" w:leader="dot" w:pos="8306"/>
        </w:tabs>
      </w:pPr>
      <w:r>
        <w:rPr>
          <w:szCs w:val="21"/>
        </w:rPr>
        <w:fldChar w:fldCharType="begin"/>
      </w:r>
      <w:r>
        <w:rPr>
          <w:szCs w:val="21"/>
        </w:rPr>
        <w:instrText xml:space="preserve"> TOC \o "1-3" \h \z \u </w:instrText>
      </w:r>
      <w:r>
        <w:rPr>
          <w:szCs w:val="21"/>
        </w:rPr>
        <w:fldChar w:fldCharType="separate"/>
      </w:r>
      <w:r>
        <w:rPr>
          <w:szCs w:val="21"/>
        </w:rPr>
        <w:fldChar w:fldCharType="begin"/>
      </w:r>
      <w:r>
        <w:rPr>
          <w:szCs w:val="21"/>
        </w:rPr>
        <w:instrText xml:space="preserve"> HYPERLINK \l _Toc13461 </w:instrText>
      </w:r>
      <w:r>
        <w:rPr>
          <w:szCs w:val="21"/>
        </w:rPr>
        <w:fldChar w:fldCharType="separate"/>
      </w:r>
      <w:r>
        <w:rPr>
          <w:rFonts w:hint="default"/>
          <w:bCs w:val="0"/>
          <w:szCs w:val="28"/>
          <w:lang w:val="zh-CN"/>
        </w:rPr>
        <w:t xml:space="preserve">1 </w:t>
      </w:r>
      <w:r>
        <w:rPr>
          <w:bCs w:val="0"/>
          <w:szCs w:val="28"/>
          <w:lang w:val="zh-CN"/>
        </w:rPr>
        <w:t>任务来源</w:t>
      </w:r>
      <w:r>
        <w:tab/>
      </w:r>
      <w:r>
        <w:fldChar w:fldCharType="begin"/>
      </w:r>
      <w:r>
        <w:instrText xml:space="preserve"> PAGEREF _Toc13461 \h </w:instrText>
      </w:r>
      <w:r>
        <w:fldChar w:fldCharType="separate"/>
      </w:r>
      <w:r>
        <w:t>4</w:t>
      </w:r>
      <w:r>
        <w:fldChar w:fldCharType="end"/>
      </w:r>
      <w:r>
        <w:rPr>
          <w:szCs w:val="21"/>
        </w:rPr>
        <w:fldChar w:fldCharType="end"/>
      </w:r>
    </w:p>
    <w:p w14:paraId="725C668E">
      <w:pPr>
        <w:pStyle w:val="9"/>
        <w:tabs>
          <w:tab w:val="right" w:leader="dot" w:pos="8306"/>
        </w:tabs>
      </w:pPr>
      <w:r>
        <w:fldChar w:fldCharType="begin"/>
      </w:r>
      <w:r>
        <w:instrText xml:space="preserve"> HYPERLINK \l _Toc24014 </w:instrText>
      </w:r>
      <w:r>
        <w:fldChar w:fldCharType="separate"/>
      </w:r>
      <w:r>
        <w:rPr>
          <w:rFonts w:hint="default"/>
          <w:bCs w:val="0"/>
          <w:szCs w:val="28"/>
          <w:lang w:val="zh-CN"/>
        </w:rPr>
        <w:t xml:space="preserve">2 </w:t>
      </w:r>
      <w:r>
        <w:rPr>
          <w:rFonts w:hint="eastAsia"/>
          <w:bCs w:val="0"/>
          <w:szCs w:val="28"/>
          <w:lang w:val="zh-CN"/>
        </w:rPr>
        <w:t>标准制定必要性、编制依据 、编制原则</w:t>
      </w:r>
      <w:r>
        <w:tab/>
      </w:r>
      <w:r>
        <w:fldChar w:fldCharType="begin"/>
      </w:r>
      <w:r>
        <w:instrText xml:space="preserve"> PAGEREF _Toc24014 \h </w:instrText>
      </w:r>
      <w:r>
        <w:fldChar w:fldCharType="separate"/>
      </w:r>
      <w:r>
        <w:t>4</w:t>
      </w:r>
      <w:r>
        <w:fldChar w:fldCharType="end"/>
      </w:r>
      <w:r>
        <w:fldChar w:fldCharType="end"/>
      </w:r>
    </w:p>
    <w:p w14:paraId="1C17B259">
      <w:pPr>
        <w:pStyle w:val="9"/>
        <w:tabs>
          <w:tab w:val="right" w:leader="dot" w:pos="8306"/>
        </w:tabs>
      </w:pPr>
      <w:r>
        <w:fldChar w:fldCharType="begin"/>
      </w:r>
      <w:r>
        <w:instrText xml:space="preserve"> HYPERLINK \l _Toc29082 </w:instrText>
      </w:r>
      <w:r>
        <w:fldChar w:fldCharType="separate"/>
      </w:r>
      <w:r>
        <w:rPr>
          <w:rFonts w:hint="default"/>
          <w:bCs w:val="0"/>
          <w:szCs w:val="28"/>
          <w:lang w:val="zh-CN"/>
        </w:rPr>
        <w:t xml:space="preserve">3 </w:t>
      </w:r>
      <w:r>
        <w:rPr>
          <w:rFonts w:hint="eastAsia"/>
          <w:bCs w:val="0"/>
          <w:szCs w:val="28"/>
          <w:lang w:val="zh-CN"/>
        </w:rPr>
        <w:t>主要工作过程</w:t>
      </w:r>
      <w:r>
        <w:tab/>
      </w:r>
      <w:r>
        <w:fldChar w:fldCharType="begin"/>
      </w:r>
      <w:r>
        <w:instrText xml:space="preserve"> PAGEREF _Toc29082 \h </w:instrText>
      </w:r>
      <w:r>
        <w:fldChar w:fldCharType="separate"/>
      </w:r>
      <w:r>
        <w:t>8</w:t>
      </w:r>
      <w:r>
        <w:fldChar w:fldCharType="end"/>
      </w:r>
      <w:r>
        <w:fldChar w:fldCharType="end"/>
      </w:r>
    </w:p>
    <w:p w14:paraId="7E9AE0BF">
      <w:pPr>
        <w:pStyle w:val="9"/>
        <w:tabs>
          <w:tab w:val="right" w:leader="dot" w:pos="8306"/>
        </w:tabs>
      </w:pPr>
      <w:r>
        <w:fldChar w:fldCharType="begin"/>
      </w:r>
      <w:r>
        <w:instrText xml:space="preserve"> HYPERLINK \l _Toc30589 </w:instrText>
      </w:r>
      <w:r>
        <w:fldChar w:fldCharType="separate"/>
      </w:r>
      <w:r>
        <w:rPr>
          <w:rFonts w:hint="default"/>
          <w:bCs w:val="0"/>
          <w:szCs w:val="28"/>
          <w:lang w:val="zh-CN"/>
        </w:rPr>
        <w:t xml:space="preserve">4 </w:t>
      </w:r>
      <w:r>
        <w:rPr>
          <w:rFonts w:hint="eastAsia"/>
          <w:bCs w:val="0"/>
          <w:szCs w:val="28"/>
        </w:rPr>
        <w:t>国内外相关标准研究</w:t>
      </w:r>
      <w:r>
        <w:tab/>
      </w:r>
      <w:r>
        <w:fldChar w:fldCharType="begin"/>
      </w:r>
      <w:r>
        <w:instrText xml:space="preserve"> PAGEREF _Toc30589 \h </w:instrText>
      </w:r>
      <w:r>
        <w:fldChar w:fldCharType="separate"/>
      </w:r>
      <w:r>
        <w:t>10</w:t>
      </w:r>
      <w:r>
        <w:fldChar w:fldCharType="end"/>
      </w:r>
      <w:r>
        <w:fldChar w:fldCharType="end"/>
      </w:r>
    </w:p>
    <w:p w14:paraId="00F9E359">
      <w:pPr>
        <w:pStyle w:val="9"/>
        <w:tabs>
          <w:tab w:val="right" w:leader="dot" w:pos="8306"/>
        </w:tabs>
      </w:pPr>
      <w:r>
        <w:fldChar w:fldCharType="begin"/>
      </w:r>
      <w:r>
        <w:instrText xml:space="preserve"> HYPERLINK \l _Toc4847 </w:instrText>
      </w:r>
      <w:r>
        <w:fldChar w:fldCharType="separate"/>
      </w:r>
      <w:r>
        <w:rPr>
          <w:rFonts w:hint="default"/>
          <w:bCs w:val="0"/>
          <w:szCs w:val="28"/>
          <w:lang w:val="zh-CN"/>
        </w:rPr>
        <w:t xml:space="preserve">5 </w:t>
      </w:r>
      <w:r>
        <w:rPr>
          <w:rFonts w:hint="eastAsia"/>
          <w:bCs w:val="0"/>
          <w:szCs w:val="28"/>
        </w:rPr>
        <w:t>同类工程现状调研</w:t>
      </w:r>
      <w:r>
        <w:tab/>
      </w:r>
      <w:r>
        <w:fldChar w:fldCharType="begin"/>
      </w:r>
      <w:r>
        <w:instrText xml:space="preserve"> PAGEREF _Toc4847 \h </w:instrText>
      </w:r>
      <w:r>
        <w:fldChar w:fldCharType="separate"/>
      </w:r>
      <w:r>
        <w:t>13</w:t>
      </w:r>
      <w:r>
        <w:fldChar w:fldCharType="end"/>
      </w:r>
      <w:r>
        <w:fldChar w:fldCharType="end"/>
      </w:r>
    </w:p>
    <w:p w14:paraId="2108BEAE">
      <w:pPr>
        <w:pStyle w:val="9"/>
        <w:tabs>
          <w:tab w:val="right" w:leader="dot" w:pos="8306"/>
        </w:tabs>
      </w:pPr>
      <w:r>
        <w:fldChar w:fldCharType="begin"/>
      </w:r>
      <w:r>
        <w:instrText xml:space="preserve"> HYPERLINK \l _Toc11584 </w:instrText>
      </w:r>
      <w:r>
        <w:fldChar w:fldCharType="separate"/>
      </w:r>
      <w:r>
        <w:rPr>
          <w:rFonts w:hint="default"/>
          <w:bCs w:val="0"/>
          <w:szCs w:val="28"/>
          <w:lang w:val="zh-CN"/>
        </w:rPr>
        <w:t xml:space="preserve">6 </w:t>
      </w:r>
      <w:r>
        <w:rPr>
          <w:rFonts w:hint="eastAsia"/>
          <w:bCs w:val="0"/>
          <w:szCs w:val="28"/>
        </w:rPr>
        <w:t>主要技术内容及说明</w:t>
      </w:r>
      <w:r>
        <w:tab/>
      </w:r>
      <w:r>
        <w:fldChar w:fldCharType="begin"/>
      </w:r>
      <w:r>
        <w:instrText xml:space="preserve"> PAGEREF _Toc11584 \h </w:instrText>
      </w:r>
      <w:r>
        <w:fldChar w:fldCharType="separate"/>
      </w:r>
      <w:r>
        <w:t>24</w:t>
      </w:r>
      <w:r>
        <w:fldChar w:fldCharType="end"/>
      </w:r>
      <w:r>
        <w:fldChar w:fldCharType="end"/>
      </w:r>
    </w:p>
    <w:p w14:paraId="7C31A719">
      <w:pPr>
        <w:pStyle w:val="9"/>
        <w:tabs>
          <w:tab w:val="right" w:leader="dot" w:pos="8306"/>
        </w:tabs>
      </w:pPr>
      <w:r>
        <w:fldChar w:fldCharType="begin"/>
      </w:r>
      <w:r>
        <w:instrText xml:space="preserve"> HYPERLINK \l _Toc1210 </w:instrText>
      </w:r>
      <w:r>
        <w:fldChar w:fldCharType="separate"/>
      </w:r>
      <w:r>
        <w:rPr>
          <w:rFonts w:hint="default"/>
          <w:bCs w:val="0"/>
          <w:szCs w:val="28"/>
          <w:lang w:val="zh-CN"/>
        </w:rPr>
        <w:t xml:space="preserve">7 </w:t>
      </w:r>
      <w:r>
        <w:rPr>
          <w:rFonts w:hint="eastAsia"/>
          <w:bCs w:val="0"/>
          <w:szCs w:val="28"/>
          <w:lang w:val="zh-CN"/>
        </w:rPr>
        <w:t>标准实施的环境效益与经济技术分析</w:t>
      </w:r>
      <w:r>
        <w:tab/>
      </w:r>
      <w:r>
        <w:fldChar w:fldCharType="begin"/>
      </w:r>
      <w:r>
        <w:instrText xml:space="preserve"> PAGEREF _Toc1210 \h </w:instrText>
      </w:r>
      <w:r>
        <w:fldChar w:fldCharType="separate"/>
      </w:r>
      <w:r>
        <w:t>33</w:t>
      </w:r>
      <w:r>
        <w:fldChar w:fldCharType="end"/>
      </w:r>
      <w:r>
        <w:fldChar w:fldCharType="end"/>
      </w:r>
    </w:p>
    <w:p w14:paraId="107A9BA6">
      <w:pPr>
        <w:pStyle w:val="10"/>
        <w:tabs>
          <w:tab w:val="right" w:leader="dot" w:pos="8306"/>
        </w:tabs>
      </w:pPr>
    </w:p>
    <w:p w14:paraId="332D3E75">
      <w:pPr>
        <w:pStyle w:val="9"/>
      </w:pPr>
      <w:r>
        <w:fldChar w:fldCharType="end"/>
      </w:r>
    </w:p>
    <w:p w14:paraId="2F99F2BB">
      <w:pPr>
        <w:autoSpaceDE w:val="0"/>
        <w:autoSpaceDN w:val="0"/>
        <w:spacing w:line="360" w:lineRule="auto"/>
        <w:jc w:val="center"/>
        <w:rPr>
          <w:rFonts w:ascii="仿宋_GB2312" w:hAnsi="黑体" w:eastAsia="仿宋_GB2312"/>
          <w:b/>
          <w:sz w:val="32"/>
          <w:lang w:val="zh-CN"/>
        </w:rPr>
      </w:pPr>
      <w:r>
        <w:rPr>
          <w:rFonts w:ascii="仿宋_GB2312" w:hAnsi="黑体" w:eastAsia="仿宋_GB2312"/>
          <w:b/>
          <w:sz w:val="32"/>
          <w:lang w:val="zh-CN"/>
        </w:rPr>
        <w:br w:type="page"/>
      </w:r>
      <w:r>
        <w:rPr>
          <w:rFonts w:hint="eastAsia" w:ascii="仿宋_GB2312" w:hAnsi="黑体" w:eastAsia="仿宋_GB2312"/>
          <w:b/>
          <w:sz w:val="32"/>
          <w:lang w:val="zh-CN"/>
        </w:rPr>
        <w:t>《绿色公路等级评价标准》编制说明</w:t>
      </w:r>
    </w:p>
    <w:p w14:paraId="29AE403F">
      <w:pPr>
        <w:pStyle w:val="9"/>
        <w:keepNext w:val="0"/>
        <w:keepLines w:val="0"/>
        <w:pageBreakBefore w:val="0"/>
        <w:widowControl w:val="0"/>
        <w:numPr>
          <w:ilvl w:val="0"/>
          <w:numId w:val="3"/>
        </w:numPr>
        <w:kinsoku/>
        <w:wordWrap/>
        <w:overflowPunct/>
        <w:topLinePunct w:val="0"/>
        <w:autoSpaceDE/>
        <w:autoSpaceDN/>
        <w:bidi w:val="0"/>
        <w:adjustRightInd/>
        <w:snapToGrid/>
        <w:ind w:left="420" w:hanging="420"/>
        <w:textAlignment w:val="auto"/>
        <w:outlineLvl w:val="0"/>
        <w:rPr>
          <w:b/>
          <w:bCs w:val="0"/>
          <w:sz w:val="28"/>
          <w:szCs w:val="28"/>
          <w:lang w:val="zh-CN"/>
        </w:rPr>
      </w:pPr>
      <w:bookmarkStart w:id="0" w:name="_Toc321381672"/>
      <w:bookmarkStart w:id="1" w:name="_Toc13461"/>
      <w:r>
        <w:rPr>
          <w:b/>
          <w:bCs w:val="0"/>
          <w:sz w:val="28"/>
          <w:szCs w:val="28"/>
          <w:lang w:val="zh-CN"/>
        </w:rPr>
        <w:t>任务来源</w:t>
      </w:r>
      <w:bookmarkEnd w:id="0"/>
      <w:bookmarkEnd w:id="1"/>
    </w:p>
    <w:p w14:paraId="49325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bookmarkStart w:id="2" w:name="_Toc321381927"/>
      <w:bookmarkStart w:id="3" w:name="_Toc321381844"/>
      <w:bookmarkStart w:id="4" w:name="_Toc321381673"/>
      <w:r>
        <w:rPr>
          <w:rFonts w:hint="eastAsia" w:ascii="宋体" w:hAnsi="宋体"/>
          <w:sz w:val="24"/>
          <w:szCs w:val="24"/>
        </w:rPr>
        <w:t>为深入贯彻习近平生态文明思想，落实《中共中央 国务院关于完整准确全面贯彻新发展理念做好碳达峰碳中和工作的意见》《2030 年前碳达峰行动方案》关于交通运输绿色低碳转型的部署要求，对标《交通强国建设纲要》《国家综合立体交通网规划纲要》中 “绿色发展节约集约、低碳环保” 的建设任务，衔接交通运输部《绿色交通标准体系（2022 年）》《绿色交通 “十四五” 发展规划》中绿色公路标准补短板、强弱项的工作安排，结合我国绿色公路建设从试点示范向全域推广、从理念落地向标准化管控转型的发展需求，</w:t>
      </w:r>
      <w:r>
        <w:rPr>
          <w:rFonts w:hint="eastAsia" w:ascii="宋体" w:hAnsi="宋体"/>
          <w:sz w:val="24"/>
          <w:szCs w:val="24"/>
          <w:lang w:val="en-US" w:eastAsia="zh-CN"/>
        </w:rPr>
        <w:t>中华环保联合会</w:t>
      </w:r>
      <w:r>
        <w:rPr>
          <w:rFonts w:hint="eastAsia" w:ascii="宋体" w:hAnsi="宋体"/>
          <w:sz w:val="24"/>
          <w:szCs w:val="24"/>
        </w:rPr>
        <w:t>下达《绿色公路等级评价标准》编制任务，由</w:t>
      </w:r>
      <w:r>
        <w:rPr>
          <w:rFonts w:hint="eastAsia" w:ascii="宋体" w:hAnsi="宋体"/>
          <w:sz w:val="24"/>
          <w:szCs w:val="24"/>
          <w:lang w:val="en-US" w:eastAsia="zh-CN"/>
        </w:rPr>
        <w:t>交通运输部公路科学研究院</w:t>
      </w:r>
      <w:r>
        <w:rPr>
          <w:rFonts w:hint="eastAsia" w:ascii="宋体" w:hAnsi="宋体"/>
          <w:sz w:val="24"/>
          <w:szCs w:val="24"/>
        </w:rPr>
        <w:t>牵头承担本标准的编制工作。</w:t>
      </w:r>
    </w:p>
    <w:p w14:paraId="715CD2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t>本标准编制工作严格遵循《交通运输标准管理办法》《工程建设标准编写规定》要求，全面整合我国绿色公路建设十余年来的理念创新、技术突破、管理经验与示范成果，聚焦绿色公路全寿命周期、全领域覆盖、全要素管控、全方位服务、全视域融合的核心特征，明确绿色公路等级划分依据、评价指标、判定规则与实施要求，填补我国绿色公路等级评价标准化的空白，为全国绿色公路规划、设计、建设、运营、养护全流程评价提供统一标尺。</w:t>
      </w:r>
    </w:p>
    <w:bookmarkEnd w:id="2"/>
    <w:bookmarkEnd w:id="3"/>
    <w:bookmarkEnd w:id="4"/>
    <w:p w14:paraId="2A20182A">
      <w:pPr>
        <w:pStyle w:val="9"/>
        <w:keepNext w:val="0"/>
        <w:keepLines w:val="0"/>
        <w:pageBreakBefore w:val="0"/>
        <w:widowControl w:val="0"/>
        <w:numPr>
          <w:ilvl w:val="0"/>
          <w:numId w:val="3"/>
        </w:numPr>
        <w:kinsoku/>
        <w:wordWrap/>
        <w:overflowPunct/>
        <w:topLinePunct w:val="0"/>
        <w:autoSpaceDE/>
        <w:autoSpaceDN/>
        <w:bidi w:val="0"/>
        <w:adjustRightInd/>
        <w:snapToGrid/>
        <w:ind w:left="420" w:hanging="420"/>
        <w:textAlignment w:val="auto"/>
        <w:outlineLvl w:val="0"/>
        <w:rPr>
          <w:b/>
          <w:bCs w:val="0"/>
          <w:sz w:val="28"/>
          <w:szCs w:val="28"/>
          <w:lang w:val="zh-CN"/>
        </w:rPr>
      </w:pPr>
      <w:bookmarkStart w:id="5" w:name="_Toc24014"/>
      <w:r>
        <w:rPr>
          <w:rFonts w:hint="eastAsia"/>
          <w:b/>
          <w:bCs w:val="0"/>
          <w:sz w:val="28"/>
          <w:szCs w:val="28"/>
          <w:lang w:val="zh-CN"/>
        </w:rPr>
        <w:t>标准制定必要性、编制依据 、编制原则</w:t>
      </w:r>
      <w:bookmarkEnd w:id="5"/>
    </w:p>
    <w:p w14:paraId="3A20C6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制定《绿色公路等级评价标准》是深入贯彻落实习近平生态文明思想，完整、准确、全面贯彻新发展理念，服务国家碳达峰碳中和战略的迫切需要；是推动交通运输行业绿色低碳转型，加快建设交通强国，实现公路建设高质量发展的重要举措；也是统一和规范绿色公路评价尺度，引领行业绿色低碳发展方向的必然选择。</w:t>
      </w:r>
    </w:p>
    <w:p w14:paraId="401EAE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（一）落实国家重大战略，推动行业绿色转型的迫切需要</w:t>
      </w:r>
    </w:p>
    <w:p w14:paraId="6C3F87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党的十八大以来，党中央、国务院对生态文明建设和绿色发展作出一系列重大战略部署。《中共中央 国务院关于完整准确全面贯彻新发展理念做好碳达峰碳中和工作的意见》和《2030年前碳达峰行动方案》明确提出要加快推进低碳交通运输体系建设，优化交通运输结构，推广节能低碳型交通工具，积极引导低碳出行。《交通强国建设纲要》和《国家综合立体交通网规划纲要》将“绿色发展节约集约、低碳环保”作为核心任务，要求强化交通生态环境保护修复，建设绿色交通廊道。在此背景下，亟需建立一套科学、统一、规范的绿色公路等级评价标准，为落实国家宏观战略提供技术支撑和评价标尺，引领公路建设全行业实现由传统粗放向绿色低碳的高质量发展转型。</w:t>
      </w:r>
    </w:p>
    <w:p w14:paraId="7172DA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（二）总结推广建设经验，引领行业创新发展的内在要求</w:t>
      </w:r>
    </w:p>
    <w:p w14:paraId="62BB0B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我国绿色公路建设自“十五”期间起步，经历了新理念公路建设、“两型”公路建设、绿色公路建设深化等阶段，先后组织实施了数十项科技示范工程、环境保护试点和绿色公路典型示范工程，涌现出以四川川九路、云南思小高速、江西广吉高速、浙江千黄高速、广东惠清高速等为代表的一大批绿色公路典范。在资源节约、生态环保、节能降碳、服务提升等方面积累了丰富的理念创新、技术创新、管理创新成果和实践经验。《中国绿色公路发展报告》系统总结了这些宝贵经验，形成了具有中国特色的绿色公路建设技术体系和管理模式。然而，这些成果和经验缺乏一套统一的等级评价标准进行衡量和认定。因此，制定本标准，将先进、成熟的实践经验固化为技术标准，通过等级评价的方式，以点带面，示范引领，对于推动绿色公路建设从试点示范向全域推广、从理念落地向标准化管控转变具有至关重要的内在推动作用。</w:t>
      </w:r>
    </w:p>
    <w:p w14:paraId="6753B0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（三）填补评价标准空白，完善绿色交通标准体系的现实需求</w:t>
      </w:r>
    </w:p>
    <w:p w14:paraId="10D147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尽管我国已发布《绿色交通设施评估技术要求 第1部分：绿色公路》（JT/T 1199.1-2018）等行业标准，以及山西、江西、云南、天津等地的多项地方标准和团体标准，在绿色公路评价方面进行了有益探索。但总体来看，现有标准或侧重于技术要求，或聚焦于特定区域，尚未形成一套覆盖公路规划、设计、建设、运营、养护全寿命周期，统筹资源节约、生态环保、节能降碳、品质建设、服务提升等多维度的全国性、系统性的等级评价标准。不同地区、不同项目之间对于“绿色公路”的理解和评判尺度不一，缺乏横向可比性和权威认定依据。《交通运输绿色低碳发展的中国实践》也强调了标准体系建设的重要性。因此，迫切需要从国家层面制定统一的等级评价标准，明确评价指标、方法、等级划分规则，填补国内绿色公路等级评价领域的标准空白，进一步完善绿色交通标准体系，为各级政府、行业主管部门、项目业主及第三方评估机构提供统一的评价依据和操作指南。</w:t>
      </w:r>
    </w:p>
    <w:p w14:paraId="65884E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 编制依据</w:t>
      </w:r>
    </w:p>
    <w:p w14:paraId="5C0635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本标准的编制，严格遵循国家相关法律法规、方针政策，充分借鉴和吸收国内外相关标准规范及研究成果，紧密结合我国绿色公路发展的实践经验和技术创新成果。主要编制依据包括：</w:t>
      </w:r>
    </w:p>
    <w:p w14:paraId="3E6038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（一）国家法律法规与政策文件</w:t>
      </w:r>
    </w:p>
    <w:p w14:paraId="0F78B7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《中华人民共和国环境保护法》</w:t>
      </w:r>
    </w:p>
    <w:p w14:paraId="108056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《中华人民共和国节约能源法》</w:t>
      </w:r>
    </w:p>
    <w:p w14:paraId="6C2F2F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《中华人民共和国循环经济促进法》</w:t>
      </w:r>
    </w:p>
    <w:p w14:paraId="456B46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《中共中央 国务院关于完整准确全面贯彻新发展理念做好碳达峰碳中和工作的意见》</w:t>
      </w:r>
    </w:p>
    <w:p w14:paraId="72BA7A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《2030年前碳达峰行动方案》（国发〔2021〕23号）</w:t>
      </w:r>
    </w:p>
    <w:p w14:paraId="5CC455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《交通强国建设纲要》（中发〔2019〕39号）</w:t>
      </w:r>
    </w:p>
    <w:p w14:paraId="5BBBE9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《国家综合立体交通网规划纲要》（中发〔2021〕5号）</w:t>
      </w:r>
    </w:p>
    <w:p w14:paraId="0BF2A6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《财政部 交通运输部关于组织开展“政府采购支持公路绿色低碳发展”试点工作的通知》（财库〔2025〕32号）</w:t>
      </w:r>
    </w:p>
    <w:p w14:paraId="247C8D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《关于加快经济社会发展全面绿色转型的意见》（2024年）</w:t>
      </w:r>
    </w:p>
    <w:p w14:paraId="382E81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（二）行业规划与标准规范</w:t>
      </w:r>
    </w:p>
    <w:p w14:paraId="3193B9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《绿色交通标准体系（2022年）》（交办科技〔2022〕36号）</w:t>
      </w:r>
    </w:p>
    <w:p w14:paraId="66B12E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《绿色交通“十四五”发展规划》（交规划发〔2021〕201号）</w:t>
      </w:r>
    </w:p>
    <w:p w14:paraId="530143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《公路水路行业绿色低碳发展行动方案》（交办规划〔2022〕33号）</w:t>
      </w:r>
    </w:p>
    <w:p w14:paraId="1D128A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《关于实施绿色公路建设的指导意见》（交办公路〔2016〕93号）</w:t>
      </w:r>
    </w:p>
    <w:p w14:paraId="4F8E29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《绿色交通设施评估技术要求 第1部分：绿色公路》（JT/T 1199.1-2018）</w:t>
      </w:r>
    </w:p>
    <w:p w14:paraId="3D43B5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《公路工程技术标准》（JTG B01）</w:t>
      </w:r>
    </w:p>
    <w:p w14:paraId="05CF7D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《公路环境保护设计规范》（JTG B04）</w:t>
      </w:r>
    </w:p>
    <w:p w14:paraId="69433A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《绿色建筑评价标准》（GB/T 50378）</w:t>
      </w:r>
    </w:p>
    <w:p w14:paraId="71EAE9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《工程建设标准编写规定》（建标〔2008〕182号）</w:t>
      </w:r>
    </w:p>
    <w:p w14:paraId="35E749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《标准化工作导则 第1部分：标准化文件的结构和起草规则》（GB/T 1.1-2020）</w:t>
      </w:r>
    </w:p>
    <w:p w14:paraId="0490E3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（三）技术研究成果与实践经验</w:t>
      </w:r>
    </w:p>
    <w:p w14:paraId="10CA09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cs="宋体"/>
          <w:sz w:val="24"/>
          <w:szCs w:val="24"/>
          <w:lang w:val="zh-CN"/>
        </w:rPr>
        <w:t>《</w:t>
      </w:r>
      <w:r>
        <w:rPr>
          <w:rFonts w:hint="eastAsia" w:ascii="宋体" w:hAnsi="宋体" w:cs="宋体"/>
          <w:sz w:val="24"/>
          <w:szCs w:val="24"/>
          <w:lang w:val="en-US" w:eastAsia="zh-CN"/>
        </w:rPr>
        <w:t>绿色公路技术指南》</w:t>
      </w:r>
    </w:p>
    <w:p w14:paraId="1EFC73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《中国绿色公路发展报告》</w:t>
      </w:r>
    </w:p>
    <w:p w14:paraId="417B9C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《交通运输绿色低碳发展的中国实践》</w:t>
      </w:r>
    </w:p>
    <w:p w14:paraId="3F71CC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交通运输部绿色公路建设典型示范工程（如延崇高速、广吉高速、千黄高速、惠清高速等）的技术成果与建设经验。</w:t>
      </w:r>
    </w:p>
    <w:p w14:paraId="7BC7E0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各省（区、市）发布的绿色公路建设技术指南、评价标准及实施方案。</w:t>
      </w:r>
    </w:p>
    <w:p w14:paraId="558257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4. 编制原则</w:t>
      </w:r>
    </w:p>
    <w:p w14:paraId="7D7ED6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本标准的编制遵循目标导向、系统全面、科学合理、继承创新、协调兼容、可操作性强的原则，确保标准的先进性、适用性和引领性。</w:t>
      </w:r>
    </w:p>
    <w:p w14:paraId="2E2217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（一）坚持目标导向，服务国家战略</w:t>
      </w:r>
    </w:p>
    <w:p w14:paraId="4F1707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紧密围绕国家碳达峰碳中和、交通强国建设、美丽中国建设等重大战略目标，将绿色低碳发展理念深度融入公路全寿命周期。标准旨在通过等级评价，引导和激励公路项目在设计、施工、运营各阶段主动采用绿色技术、实施绿色管理，有效降低资源消耗、减少污染排放、保护生态环境、提升服务品质，使标准成为落实行业绿色发展顶层设计的有力抓手。</w:t>
      </w:r>
    </w:p>
    <w:p w14:paraId="6AF9D6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（二）坚持系统全面，统筹全寿命周期</w:t>
      </w:r>
    </w:p>
    <w:p w14:paraId="53AFAB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遵循系统论思想，改变以往可能侧重于单一阶段或单一要素的评价模式。标准构建了覆盖“绿色设计”、“绿色施工”、“绿色公路”三阶段，统筹“绿色理念、生态环保、资源节约、节能降碳、品质建设、服务提升”六大维度的多层级评价指标体系。这要求评价工作贯穿于公路规划、设计、建设、运营、养护全过程，强调各阶段、各要素之间的内在联系与协同，实现公路建设全寿命周期的绿色化管控。</w:t>
      </w:r>
    </w:p>
    <w:p w14:paraId="6BEF14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（三）坚持科学合理，注重量化评价</w:t>
      </w:r>
    </w:p>
    <w:p w14:paraId="739E91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充分总结我国绿色公路建设经验和技术成果的基础上，科学遴选评价指标，力求指标内涵清晰、可测度、可评价。评价方法采用百分制量化计分与星级划分相结合的方式，通过设置明确的计分方法和等级划分标准，确保评价过程客观公正，评价结果可比性强、区分度好。对于特殊区域（如高寒、荒漠、沿海等）和项目特定条件（如无隧道、无服务区等），在附录中设置了“可不参评指标的限制性条件”，体现了标准的科学性和灵活性。</w:t>
      </w:r>
    </w:p>
    <w:p w14:paraId="405B9C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（四）坚持继承创新，突出先进引领</w:t>
      </w:r>
    </w:p>
    <w:p w14:paraId="22FDA0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标准充分继承了JT/T 1199.1-2018等现有标准的有益成果，并吸收了《交通运输绿色低碳发展的中国实践》中关于新能源应用、废旧材料循环利用、生态修复等最新技术进展。同时，结合“双碳”背景和行业新需求，创新性地引入了“全生命周期碳足迹核算”、“碳减排量”、“可循环材料使用率”、“交旅融合”等新指标，并强化了BIM技术、智慧工地、零碳服务区等新技术、新模式的评价要求。通过设立较高的星级（特别是五星级）评价标准，激励行业追求卓越，引领绿色公路向更高水平发展。</w:t>
      </w:r>
    </w:p>
    <w:p w14:paraId="58AF88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（五）坚持协调兼容，便于推广应用</w:t>
      </w:r>
    </w:p>
    <w:p w14:paraId="68FD9E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本标准在术语、总体要求、指标体系框架等方面，力求与现行国家、行业标准相协调，避免矛盾和重复。评价程序遵循“自愿申请、独立评价、公开公正”的原则，明确了申请方、评价机构和归口单位的职责，操作流程清晰。评价结果可用于项目绿色等级认定、政策扶持、金融支持、社会宣传等多个方面，具有较强的实用性和推广价值，旨在构建政府引导、市场驱动、社会参与的绿色公路发展长效机制。</w:t>
      </w:r>
    </w:p>
    <w:p w14:paraId="65FFFD62">
      <w:pPr>
        <w:pStyle w:val="9"/>
        <w:keepNext w:val="0"/>
        <w:keepLines w:val="0"/>
        <w:pageBreakBefore w:val="0"/>
        <w:widowControl w:val="0"/>
        <w:numPr>
          <w:ilvl w:val="0"/>
          <w:numId w:val="3"/>
        </w:numPr>
        <w:kinsoku/>
        <w:wordWrap/>
        <w:overflowPunct/>
        <w:topLinePunct w:val="0"/>
        <w:autoSpaceDE/>
        <w:autoSpaceDN/>
        <w:bidi w:val="0"/>
        <w:adjustRightInd/>
        <w:snapToGrid/>
        <w:ind w:left="420" w:hanging="420"/>
        <w:textAlignment w:val="auto"/>
        <w:outlineLvl w:val="0"/>
        <w:rPr>
          <w:rFonts w:hint="eastAsia"/>
          <w:b/>
          <w:bCs w:val="0"/>
          <w:sz w:val="28"/>
          <w:szCs w:val="28"/>
          <w:lang w:val="zh-CN"/>
        </w:rPr>
      </w:pPr>
      <w:bookmarkStart w:id="6" w:name="_Toc29082"/>
      <w:r>
        <w:rPr>
          <w:rFonts w:hint="eastAsia"/>
          <w:b/>
          <w:bCs w:val="0"/>
          <w:sz w:val="28"/>
          <w:szCs w:val="28"/>
          <w:lang w:val="zh-CN"/>
        </w:rPr>
        <w:t>主要工作过程</w:t>
      </w:r>
      <w:bookmarkEnd w:id="6"/>
    </w:p>
    <w:p w14:paraId="0F4E7D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sz w:val="24"/>
          <w:szCs w:val="24"/>
        </w:rPr>
      </w:pPr>
      <w:r>
        <w:rPr>
          <w:rFonts w:hint="eastAsia" w:ascii="宋体" w:hAnsi="宋体"/>
          <w:b w:val="0"/>
          <w:bCs w:val="0"/>
          <w:sz w:val="24"/>
          <w:szCs w:val="24"/>
        </w:rPr>
        <w:t>本标准编制工作自任务下达以来，编制组严格遵循《交通运输标准管理办法》和《工程建设标准编写规定》，系统梳理了我国绿色公路建设十余年来的理念创新、技术突破、管理经验与示范成果，有序推进各项编制任务。截至征求意见稿形成前，主要工作过程如下：</w:t>
      </w:r>
    </w:p>
    <w:p w14:paraId="269D37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sz w:val="24"/>
          <w:szCs w:val="24"/>
        </w:rPr>
      </w:pPr>
      <w:r>
        <w:rPr>
          <w:rFonts w:hint="eastAsia" w:ascii="宋体" w:hAnsi="宋体"/>
          <w:b w:val="0"/>
          <w:bCs w:val="0"/>
          <w:sz w:val="24"/>
          <w:szCs w:val="24"/>
        </w:rPr>
        <w:t>1）成立编制组，启动标准编制工作（2025年11月）</w:t>
      </w:r>
    </w:p>
    <w:p w14:paraId="5B989F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sz w:val="24"/>
          <w:szCs w:val="24"/>
        </w:rPr>
      </w:pPr>
      <w:r>
        <w:rPr>
          <w:rFonts w:hint="eastAsia" w:ascii="宋体" w:hAnsi="宋体"/>
          <w:b w:val="0"/>
          <w:bCs w:val="0"/>
          <w:sz w:val="24"/>
          <w:szCs w:val="24"/>
        </w:rPr>
        <w:t>2025年11月，依据中华环保联合会下达的编制任务，由交通运输部公路科学研究院作为牵头单位，联合国内相关科研院所、高校、设计咨询单位及施工企业，正式成立了《绿色公路等级评价标准》编制组。编制组召开了首次工作会议，明确了任务分工、进度计划和编制要求，确立了以全寿命周期、全要素管控为核心的绿色公路等级评价技术路线。</w:t>
      </w:r>
    </w:p>
    <w:p w14:paraId="1A7A10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sz w:val="24"/>
          <w:szCs w:val="24"/>
        </w:rPr>
      </w:pPr>
      <w:r>
        <w:rPr>
          <w:rFonts w:hint="eastAsia" w:ascii="宋体" w:hAnsi="宋体"/>
          <w:b w:val="0"/>
          <w:bCs w:val="0"/>
          <w:sz w:val="24"/>
          <w:szCs w:val="24"/>
        </w:rPr>
        <w:t>2）系统梳理与调研，完成开题报告（2025年11月—2026年1月）</w:t>
      </w:r>
    </w:p>
    <w:p w14:paraId="78C871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sz w:val="24"/>
          <w:szCs w:val="24"/>
        </w:rPr>
      </w:pPr>
      <w:r>
        <w:rPr>
          <w:rFonts w:hint="eastAsia" w:ascii="宋体" w:hAnsi="宋体"/>
          <w:b w:val="0"/>
          <w:bCs w:val="0"/>
          <w:sz w:val="24"/>
          <w:szCs w:val="24"/>
        </w:rPr>
        <w:t>编制组系统梳理了我国绿色公路从新理念公路建设时期、“两型”公路建设时期到绿色公路建设深化时期的发展历程与经验，全面分析了关于政策规划、基础设施绿色化、装备清洁低碳化及运输服务高效化的实践成果。同时，收集整理了现行国家、行业及地方相关标准规范30余项，重点研究了山西、江西、云南、天津等地的绿色公路评价地方标准，以及JT/T 1199.1-2018《绿色交通设施评估技术要求 第1部分：绿色公路》等行业标准。在此基础上，编制组完成了《标准开题报告》，明确了标准的适用范围、总体框架、评价指标体系（涵盖绿色理念、生态环保、资源节约、节能降碳、品质建设、服务提升六大维度）、评分方法及等级划分规则。</w:t>
      </w:r>
    </w:p>
    <w:p w14:paraId="2D1265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sz w:val="24"/>
          <w:szCs w:val="24"/>
        </w:rPr>
      </w:pPr>
      <w:r>
        <w:rPr>
          <w:rFonts w:hint="eastAsia" w:ascii="宋体" w:hAnsi="宋体"/>
          <w:b w:val="0"/>
          <w:bCs w:val="0"/>
          <w:sz w:val="24"/>
          <w:szCs w:val="24"/>
        </w:rPr>
        <w:t>3）召开开题评审会，明确编制方向（2026年2月）</w:t>
      </w:r>
    </w:p>
    <w:p w14:paraId="08402B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sz w:val="24"/>
          <w:szCs w:val="24"/>
        </w:rPr>
      </w:pPr>
      <w:r>
        <w:rPr>
          <w:rFonts w:hint="eastAsia" w:ascii="宋体" w:hAnsi="宋体"/>
          <w:b w:val="0"/>
          <w:bCs w:val="0"/>
          <w:sz w:val="24"/>
          <w:szCs w:val="24"/>
        </w:rPr>
        <w:t>2026年2月，中华环保联合会在北京主持召开了《绿色公路等级评价标准》开题评审会。来自公路工程、环境保护、标准化管理等领域的知名专家听取了编制组的汇报。专家组认为，该标准立项及时、必要，对于填补我国绿色公路等级评价标准空白、推动行业绿色低碳转型具有重要意义。会上提出的主要建议包括：一是进一步强化“双碳”目标的引领作用，细化碳排放核算与碳减排相关指标；二是注重标准的可操作性，简化部分定性指标，增加定量化计分要求；三是充分考虑地域差异，设置特殊区域的指标调整机制；四是加强与现行《绿色交通设施评估技术要求》等标准的衔接协调。</w:t>
      </w:r>
    </w:p>
    <w:p w14:paraId="6AB714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sz w:val="24"/>
          <w:szCs w:val="24"/>
        </w:rPr>
      </w:pPr>
      <w:r>
        <w:rPr>
          <w:rFonts w:hint="eastAsia" w:ascii="宋体" w:hAnsi="宋体"/>
          <w:b w:val="0"/>
          <w:bCs w:val="0"/>
          <w:sz w:val="24"/>
          <w:szCs w:val="24"/>
        </w:rPr>
        <w:t>4）开展专项研究与指标验证，形成征求意见稿（2026年2月—2026年4月）</w:t>
      </w:r>
    </w:p>
    <w:p w14:paraId="5F12E8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lang w:val="zh-CN"/>
        </w:rPr>
      </w:pPr>
      <w:r>
        <w:rPr>
          <w:rFonts w:hint="eastAsia" w:ascii="宋体" w:hAnsi="宋体"/>
          <w:b w:val="0"/>
          <w:bCs w:val="0"/>
          <w:sz w:val="24"/>
          <w:szCs w:val="24"/>
        </w:rPr>
        <w:t>编制组根据开题评审会专家意见，重点开展了以下工作：一是关于近零碳服务区、路域光伏应用、废旧路面材料循环利用（RAP利用率≥95%）等先进实践经验，对“节能降碳”“资源节约”等指标进行了优化和量化；二是借鉴绿色公路典型示范工程的实践经验，完善了“绿色设计”与“绿色施工”阶段评价指标，增设了“永临结合”“表土资源利用”“隧道洞渣高值化利用”等可量化计分项；三是针对生态敏感区、水资源保护区等特殊路段，强化了“生态环保”指标中关于野生动物通道、桥面径流收集处理、生态边沟等设计要求；四是组织召开了多次内部研讨会和专家咨询会，对指标体系、分值权重、等级划分标准等关键内容进行了反复论证和调整。在上述工作基础上，编制组完成了《绿色公路等级评价标准（征求意见稿）》及《编制说明》，报请归口单位审核。</w:t>
      </w:r>
    </w:p>
    <w:p w14:paraId="477D3F46">
      <w:pPr>
        <w:pStyle w:val="9"/>
        <w:keepNext w:val="0"/>
        <w:keepLines w:val="0"/>
        <w:pageBreakBefore w:val="0"/>
        <w:widowControl w:val="0"/>
        <w:numPr>
          <w:ilvl w:val="0"/>
          <w:numId w:val="3"/>
        </w:numPr>
        <w:kinsoku/>
        <w:wordWrap/>
        <w:overflowPunct/>
        <w:topLinePunct w:val="0"/>
        <w:autoSpaceDE/>
        <w:autoSpaceDN/>
        <w:bidi w:val="0"/>
        <w:adjustRightInd/>
        <w:snapToGrid/>
        <w:ind w:left="420" w:hanging="420"/>
        <w:textAlignment w:val="auto"/>
        <w:outlineLvl w:val="0"/>
        <w:rPr>
          <w:b/>
          <w:bCs w:val="0"/>
          <w:sz w:val="28"/>
          <w:szCs w:val="28"/>
          <w:lang w:val="zh-CN"/>
        </w:rPr>
      </w:pPr>
      <w:bookmarkStart w:id="7" w:name="_Toc30589"/>
      <w:r>
        <w:rPr>
          <w:b/>
          <w:bCs w:val="0"/>
          <w:sz w:val="28"/>
          <w:szCs w:val="28"/>
        </w:rPr>
        <w:fldChar w:fldCharType="begin"/>
      </w:r>
      <w:r>
        <w:rPr>
          <w:b/>
          <w:bCs w:val="0"/>
          <w:sz w:val="28"/>
          <w:szCs w:val="28"/>
        </w:rPr>
        <w:instrText xml:space="preserve"> HYPERLINK \l "_Toc234978610" </w:instrText>
      </w:r>
      <w:r>
        <w:rPr>
          <w:b/>
          <w:bCs w:val="0"/>
          <w:sz w:val="28"/>
          <w:szCs w:val="28"/>
        </w:rPr>
        <w:fldChar w:fldCharType="separate"/>
      </w:r>
      <w:r>
        <w:rPr>
          <w:rFonts w:hint="eastAsia"/>
          <w:b/>
          <w:bCs w:val="0"/>
          <w:sz w:val="28"/>
          <w:szCs w:val="28"/>
        </w:rPr>
        <w:t>国内外相关标准研究</w:t>
      </w:r>
      <w:r>
        <w:rPr>
          <w:rFonts w:hint="eastAsia"/>
          <w:b/>
          <w:bCs w:val="0"/>
          <w:sz w:val="28"/>
          <w:szCs w:val="28"/>
        </w:rPr>
        <w:fldChar w:fldCharType="end"/>
      </w:r>
      <w:bookmarkEnd w:id="7"/>
    </w:p>
    <w:p w14:paraId="6D8870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为科学构建绿色公路等级评价指标体系，编制组系统开展了国内外相关标准规范的调研与对比分析工作，重点研究了国际可持续基础设施评价体系、国内绿色交通标准体系以及各省市绿色公路建设与评价地方标准，为本标准的定位、指标选取及等级划分提供了重要参考依据。</w:t>
      </w:r>
    </w:p>
    <w:p w14:paraId="5AA0C2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（一）国外相关标准研究</w:t>
      </w:r>
    </w:p>
    <w:p w14:paraId="0B2DE2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在国际层面，绿色公路相关理念与实践主要体现为可持续基础设施评价体系。目前，国际上具有代表性的可持续评价体系包括美国联邦公路管理局（FHWA）的《基础设施可持续评价体系》（INVEST）、英国土木工程师学会（ICE）的《土木工程可持续发展评价标准》（CEEQUAL）、美国绿色建筑委员会（USGBC）的LEED交通扩展等。这些评价体系普遍采用多层级指标架构，涵盖项目规划、设计、施工、运营、养护全寿命周期，评价内容涉及资源消耗、生态环境影响、能源利用效率、社会经济效益等多个维度，通常以得分率或通过率确定项目所获等级（如银级、金级、铂金级等）。</w:t>
      </w:r>
    </w:p>
    <w:p w14:paraId="1767F8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综合分析，国外可持续基础设施评价体系在方法论上具有较强参考价值，但其指标体系多基于欧美国家的自然环境、法律法规及技术经济条件，难以直接适用于我国复杂多样的地理气候特征、公路建设管理体制及绿色低碳发展目标。因此，本标准在借鉴国际经验的基础上，更加注重结合我国绿色公路发展实际，构建具有中国特色的等级评价体系。</w:t>
      </w:r>
    </w:p>
    <w:p w14:paraId="14A7F10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（二）国内相关标准研究</w:t>
      </w:r>
    </w:p>
    <w:p w14:paraId="3B3710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1. 行业标准</w:t>
      </w:r>
    </w:p>
    <w:p w14:paraId="35DBCA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在行业层面，我国已初步构建了覆盖公路、水路、港口等领域的绿色交通标准体系。其中，与本标准关联最为密切的是JT/T 1199系列《绿色交通设施评估技术要求》。该系列标准第1部分《绿色公路》（JT/T 1199.1-2018）是我国首部专门针对绿色公路评估的行业标准，提出了“绿色理念、生态环保、资源节约、节能低碳、品质建设、安全智慧、服务提升”七类一级指标，建立了绿色公路评估的基本框架。第2部分《绿色服务区》（JT/T 1199.2-2018）则聚焦服务区绿色化评估。</w:t>
      </w:r>
    </w:p>
    <w:p w14:paraId="1AFBD2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然而，JT/T 1199.1-2018主要侧重于绿色公路的综合评估，未明确划分设计、施工、运营等不同阶段，也未建立分级评价制度（如星级划分）。同时，该标准发布于2018年，尚未全面纳入“双碳”目标提出后的新要求，如碳排放核算、碳减排目标、可再生能源自洽率等指标。此外，在节能降碳、资源循环利用、交旅融合等方面，近年来涌现的大量新技术、新模式也未能在现行标准中得到充分体现。</w:t>
      </w:r>
    </w:p>
    <w:p w14:paraId="703464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在节能降碳领域，行业已发布《公路工程节能规范》（JTG/T 2340-2020）、《营运客车燃料消耗量限值及测量方法》（JT/T 711-2016）、《营运货车燃料消耗量限值及测量方法》（JT/T 719-2016）、《公路机电设施用电设备能效等级及评定方法》（JT/T 431系列）等标准，为绿色公路节能技术应用与能效评价提供了技术支撑。在污染防治方面，《路面标线材料有害物质限量》（JT/T 1326-2020）、《公路服务区污水处理设施技术要求》（JT/T 1147系列）、《公路声屏障》（JT/T 646系列）等标准，为公路建设运营过程中的污染控制提供了依据。在生态环境保护修复方面，《公路环境保护设计规范》（JTG B04-2010）、《公路路域植被恢复材料》（JT/T 1108系列）等标准，对生态选线、植被恢复、动物通道等提出了技术要求。在资源循环利用方面，《公路沥青路面再生技术规范》（JTG/T 5521-2019）、《公路工程利用建筑垃圾技术规范》（JTG/T 2321-2021）、《路用废胎胶粉橡胶沥青》（JT/T 798-2019）等标准，推动了废旧路面材料、工业固废、建筑垃圾等在公路工程中的循环利用。</w:t>
      </w:r>
    </w:p>
    <w:p w14:paraId="5408A2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2. 地方标准</w:t>
      </w:r>
    </w:p>
    <w:p w14:paraId="2511B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在地方层面，多个省（区、市）结合区域自然地理特征和公路建设实践，先行先试，制定了一系列具有地域特色的绿色公路评价与建设标准（详见《中国绿色公路发展报告》第八章）。</w:t>
      </w:r>
    </w:p>
    <w:p w14:paraId="45CED53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 云南省于2013年发布了我国首部绿色公路评价标准DB53/T 449-2013《绿色公路评价标准》，涵盖了高速公路、一级、二级公路从立项到运营各环节的评价内容，建立了绿色公路指标体系与等级评定规则。</w:t>
      </w:r>
    </w:p>
    <w:p w14:paraId="428610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 山西省于2021年发布了DB14/T 2314-2021《绿色公路评价标准》，适用于新建、改扩建及运营的二级以上公路项目，规定了评价指标体系及评价方法。</w:t>
      </w:r>
    </w:p>
    <w:p w14:paraId="1F4C1B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 江西省于2020年发布了DB36/T 535-2020《绿色公路建设指南—高速公路 第3册 绿色公路评价标准》，规定了绿色公路评价的要求、指标体系等内容，适用于高速公路的评价。</w:t>
      </w:r>
    </w:p>
    <w:p w14:paraId="61978F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 天津市于2021年发布了DB12/T 1096-2021《绿色公路评价指标》，规定了绿色公路评价指标组成、计算方法及等级评定规则。</w:t>
      </w:r>
    </w:p>
    <w:p w14:paraId="05885F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 上海市于2020年发布了DG/TJ 08-2348-2020《绿色公路技术标准》，采用分阶段评估模式（设计、施工、运维），分别设置了66个、70个和62个评分项，形成了较为精细化的评价体系。</w:t>
      </w:r>
    </w:p>
    <w:p w14:paraId="705EF2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此外，江苏、浙江、安徽、山东、甘肃等省也发布了绿色公路建设技术指南或相关标准，如DB32/T 3949-2020《普通国省干线绿色公路建设技术规程》、DB14/T 2315-2021《绿色公路建设技术指南》、DB34/T 3272-2018《高速公路绿色服务区建设指南》、DB37/T 4516-2022《高速公路边坡光伏发电工程技术规范》等。这些地方标准在绿色选线、生态修复、资源循环利用、清洁能源应用等方面各有侧重，为本标准指标的遴选和量化提供了丰富的实践依据。</w:t>
      </w:r>
    </w:p>
    <w:p w14:paraId="5176114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但总体来看，地方标准普遍存在适用范围有限、评价指标差异较大、等级划分标准不一等问题，难以在全国范围内形成统一、可比、互认的绿色公路等级评价结果。</w:t>
      </w:r>
    </w:p>
    <w:p w14:paraId="466B1F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3. 团体标准</w:t>
      </w:r>
    </w:p>
    <w:p w14:paraId="1A24CD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近年来，团体标准在绿色公路建设领域发挥了重要的补充作用。中国工程建设标准化协会（CECS）、中国公路学会（CHTS）、中国交通运输协会等社会团体相继发布了一批相关标准。如T/CECS G:C10-01-2020《绿色公路建设技术标准》、T/CHTS 10060-2022《公路隧道多功能蓄能发光材料应用技术指南》、T/CHTS 10049-2022《港珠澳大桥节能减排技术指南》、T/CECS G:Q75-02-2020《公路视频云联网技术与管理规程》、T/JSCTS 12-2022《江苏省高速公路绿色服务区评估指南》等。这些标准聚焦特定技术领域或特定工程类型，具有灵活性强、响应快速的特点，但在系统性、权威性和统一性方面尚显不足。</w:t>
      </w:r>
    </w:p>
    <w:p w14:paraId="1EC5EE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（三）现有标准评述与本标准定位</w:t>
      </w:r>
    </w:p>
    <w:p w14:paraId="742CC7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综上所述，我国在绿色公路相关标准建设方面已取得显著进展，初步形成了涵盖行业、地方、团体的多层次标准体系。然而，现行标准仍存在以下不足：</w:t>
      </w:r>
    </w:p>
    <w:p w14:paraId="5645A2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一是缺乏全国统一的等级评价标准。现有标准多为技术指南或建设规范，评价类标准则多为地方性文件，缺乏适用于全国范围的、权威的绿色公路等级划分与认定标准。</w:t>
      </w:r>
    </w:p>
    <w:p w14:paraId="4004E0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二是未实现全寿命周期分阶段评价。现有评价标准多侧重于项目建成后的综合评估，对绿色设计、绿色施工阶段的独立评价关注不足，难以满足分阶段认定、过程管控的实际需求。</w:t>
      </w:r>
    </w:p>
    <w:p w14:paraId="5DBF4B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三是未能充分体现“双碳”目标新要求。现行标准大多发布于“双碳”目标提出之前，在碳排放核算、碳减排目标、可再生能源利用、零碳服务区等新兴领域存在明显滞后。</w:t>
      </w:r>
    </w:p>
    <w:p w14:paraId="3422112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zh-CN"/>
        </w:rPr>
      </w:pPr>
      <w:r>
        <w:rPr>
          <w:rFonts w:hint="eastAsia"/>
          <w:lang w:val="zh-CN"/>
        </w:rPr>
        <w:t>四是等级划分标准不统一。不同地方标准在星级划分的阈值、指标权重、计分方法等方面存在较大差异，导致评价结果缺乏横向可比性。</w:t>
      </w:r>
    </w:p>
    <w:p w14:paraId="2F08DF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lang w:val="zh-CN"/>
        </w:rPr>
      </w:pPr>
      <w:r>
        <w:rPr>
          <w:rFonts w:hint="eastAsia"/>
          <w:lang w:val="zh-CN"/>
        </w:rPr>
        <w:t>基于上述分析，本标准定位为：在继承JT/T 1199.1-2018等现有标准成果的基础上，充分吸收地方标准和团体标准的先进经验，紧密结合“双碳”战略新要求，构建一套覆盖绿色设计、绿色施工、绿色公路三阶段，统一评价指标、统一计分方法、统一等级划分的全国性绿色公路等级评价标准，填补我国在该领域的标准空白。</w:t>
      </w:r>
    </w:p>
    <w:p w14:paraId="3C867CD4">
      <w:pPr>
        <w:pStyle w:val="9"/>
        <w:keepNext w:val="0"/>
        <w:keepLines w:val="0"/>
        <w:pageBreakBefore w:val="0"/>
        <w:widowControl w:val="0"/>
        <w:numPr>
          <w:ilvl w:val="0"/>
          <w:numId w:val="3"/>
        </w:numPr>
        <w:kinsoku/>
        <w:wordWrap/>
        <w:overflowPunct/>
        <w:topLinePunct w:val="0"/>
        <w:autoSpaceDE/>
        <w:autoSpaceDN/>
        <w:bidi w:val="0"/>
        <w:adjustRightInd/>
        <w:snapToGrid/>
        <w:ind w:left="420" w:hanging="420"/>
        <w:textAlignment w:val="auto"/>
        <w:outlineLvl w:val="0"/>
        <w:rPr>
          <w:b/>
          <w:bCs w:val="0"/>
          <w:sz w:val="28"/>
          <w:szCs w:val="28"/>
          <w:lang w:val="zh-CN"/>
        </w:rPr>
      </w:pPr>
      <w:bookmarkStart w:id="8" w:name="_Toc4847"/>
      <w:r>
        <w:rPr>
          <w:b/>
          <w:bCs w:val="0"/>
          <w:sz w:val="28"/>
          <w:szCs w:val="28"/>
        </w:rPr>
        <w:fldChar w:fldCharType="begin"/>
      </w:r>
      <w:r>
        <w:rPr>
          <w:b/>
          <w:bCs w:val="0"/>
          <w:sz w:val="28"/>
          <w:szCs w:val="28"/>
        </w:rPr>
        <w:instrText xml:space="preserve"> HYPERLINK \l "_Toc234978610" </w:instrText>
      </w:r>
      <w:r>
        <w:rPr>
          <w:b/>
          <w:bCs w:val="0"/>
          <w:sz w:val="28"/>
          <w:szCs w:val="28"/>
        </w:rPr>
        <w:fldChar w:fldCharType="separate"/>
      </w:r>
      <w:r>
        <w:rPr>
          <w:rFonts w:hint="eastAsia"/>
          <w:b/>
          <w:bCs w:val="0"/>
          <w:sz w:val="28"/>
          <w:szCs w:val="28"/>
        </w:rPr>
        <w:t>同类工程现状调研</w:t>
      </w:r>
      <w:r>
        <w:rPr>
          <w:rFonts w:hint="eastAsia"/>
          <w:b/>
          <w:bCs w:val="0"/>
          <w:sz w:val="28"/>
          <w:szCs w:val="28"/>
        </w:rPr>
        <w:fldChar w:fldCharType="end"/>
      </w:r>
      <w:bookmarkEnd w:id="8"/>
    </w:p>
    <w:p w14:paraId="1EAB77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为全面掌握我国绿色公路建设的实践进展、技术成果与管理经验，为标准编制提供坚实的实践支撑，编制组系统开展了绿色公路同类工程现状调研工作。调研范围覆盖了交通运输部确定的三批共33个绿色公路建设典型示范工程，以及各省（区、市）开展的省级绿色公路试点示范项目。调研方法包括文献研究、现场考察、座谈交流、资料收集等多种形式，重点分析了各示范工程在绿色理念落实、生态环保、资源节约、节能降碳、品质建设、服务提升等方面的主要做法、实施成效及存在问题。</w:t>
      </w:r>
    </w:p>
    <w:p w14:paraId="662CE0C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sz w:val="24"/>
          <w:szCs w:val="24"/>
          <w:lang w:val="zh-CN"/>
        </w:rPr>
      </w:pPr>
      <w:r>
        <w:rPr>
          <w:rFonts w:hint="eastAsia" w:ascii="宋体" w:hAnsi="宋体" w:eastAsia="宋体" w:cs="宋体"/>
          <w:b/>
          <w:bCs/>
          <w:sz w:val="24"/>
          <w:szCs w:val="24"/>
          <w:lang w:val="zh-CN"/>
        </w:rPr>
        <w:t xml:space="preserve"> </w:t>
      </w:r>
      <w:bookmarkStart w:id="9" w:name="_Toc9852"/>
      <w:r>
        <w:rPr>
          <w:rFonts w:hint="eastAsia" w:ascii="宋体" w:hAnsi="宋体" w:eastAsia="宋体" w:cs="宋体"/>
          <w:b/>
          <w:bCs/>
          <w:sz w:val="24"/>
          <w:szCs w:val="24"/>
          <w:lang w:val="zh-CN"/>
        </w:rPr>
        <w:t>5.1 调研概况与总体特征</w:t>
      </w:r>
      <w:bookmarkEnd w:id="9"/>
    </w:p>
    <w:p w14:paraId="1D87467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r>
        <w:rPr>
          <w:rFonts w:hint="eastAsia" w:ascii="宋体" w:hAnsi="宋体" w:eastAsia="宋体" w:cs="宋体"/>
          <w:b/>
          <w:bCs/>
          <w:sz w:val="24"/>
          <w:szCs w:val="24"/>
          <w:lang w:val="zh-CN"/>
        </w:rPr>
        <w:t xml:space="preserve"> </w:t>
      </w:r>
      <w:bookmarkStart w:id="10" w:name="_Toc12954"/>
      <w:r>
        <w:rPr>
          <w:rFonts w:hint="eastAsia" w:ascii="宋体" w:hAnsi="宋体" w:eastAsia="宋体" w:cs="宋体"/>
          <w:b/>
          <w:bCs/>
          <w:sz w:val="24"/>
          <w:szCs w:val="24"/>
          <w:lang w:val="zh-CN"/>
        </w:rPr>
        <w:t>5.1.1 调研范围与对象</w:t>
      </w:r>
      <w:bookmarkEnd w:id="10"/>
    </w:p>
    <w:p w14:paraId="1D65B1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本次调研以交通运输部2016年以来确定的三批绿色公路建设典型示范工程为主体，兼顾各省（区、市）开展的省级绿色公路试点示范项目。典型示范工程涵盖了高速公路、独立大桥及普通国省干线公路，项目性质包括新建和改扩建，分布区域覆盖了东部沿海、中部平原、西部山区、东北冻土等不同地理气候区。重点调研的示范工程包括：延庆至崇礼高速公路（北京段）、广昌至吉安高速公路（江西）、都匀至安顺高速公路（贵州）、溧阳至宁德高速公路千黄段（浙江）、汕湛高速公路惠清段（广东）、云茂高速公路（广东）、仁博高速公路（广东）、莆炎高速公路三明段（福建）等。此外，还对浙江美丽公路、云南旅游公路、山东零碳服务区等特色实践进行了专题调研。</w:t>
      </w:r>
    </w:p>
    <w:p w14:paraId="3FC0523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sz w:val="24"/>
          <w:szCs w:val="24"/>
          <w:lang w:val="zh-CN"/>
        </w:rPr>
      </w:pPr>
      <w:r>
        <w:rPr>
          <w:rFonts w:hint="eastAsia" w:ascii="宋体" w:hAnsi="宋体" w:eastAsia="宋体" w:cs="宋体"/>
          <w:b/>
          <w:bCs/>
          <w:sz w:val="24"/>
          <w:szCs w:val="24"/>
          <w:lang w:val="zh-CN"/>
        </w:rPr>
        <w:t xml:space="preserve"> </w:t>
      </w:r>
      <w:bookmarkStart w:id="11" w:name="_Toc4254"/>
      <w:r>
        <w:rPr>
          <w:rFonts w:hint="eastAsia" w:ascii="宋体" w:hAnsi="宋体" w:eastAsia="宋体" w:cs="宋体"/>
          <w:b/>
          <w:bCs/>
          <w:sz w:val="24"/>
          <w:szCs w:val="24"/>
          <w:lang w:val="zh-CN"/>
        </w:rPr>
        <w:t>5.1.2 绿色公路建设的总体特征</w:t>
      </w:r>
      <w:bookmarkEnd w:id="11"/>
    </w:p>
    <w:p w14:paraId="65B08B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通过对上述示范工程的系统调研，编制组发现我国绿色公路建设呈现以下总体特征：</w:t>
      </w:r>
    </w:p>
    <w:p w14:paraId="6F64C3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一是建设理念实现根本转变。从早期单纯追求工程经济性和技术可行性，转变为统筹考虑资源占用、能源消耗、生态影响、运行效率、服务品质的综合发展观。“不破坏就是最大的保护”、“最小的破坏就是最大的保护”、“设计上最大限度的保护生态、施工中最小程度的破坏生态和最大力度的恢复生态”等理念深入人心，成为绿色公路建设的行动指南。</w:t>
      </w:r>
    </w:p>
    <w:p w14:paraId="28E570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二是技术体系日趋成熟。在资源节约方面，形成了以永临结合、土石方平衡、隧道洞渣综合利用、废旧路面材料再生利用、大宗工业固废筑路应用等为代表的技术体系；在生态环保方面，形成了以生态选线、原生植被保护、野生动物通道、近自然生态修复、生态排水等为代表的技术体系；在节能降碳方面，形成了以温拌沥青、隧道智能通风照明、可再生能源利用、零碳服务区建设等为代表的技术体系；在品质建设方面，形成了以装配化施工、BIM技术应用、智慧工地管理等为代表的技术体系；在服务提升方面，形成了以交旅融合、绿色服务区、智慧出行服务等为代表的技术体系。</w:t>
      </w:r>
    </w:p>
    <w:p w14:paraId="18E07A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三是管理模式不断创新。各示范工程积极探索现代工程管理方法，推行“双标”管理（标准化管理、标杆管理）、“双创”行动（绿色公路与品质工程协同创建）、全过程技术咨询、绿色公路绩效评价等制度创新，形成了具有中国特色的绿色公路建设管理模式。</w:t>
      </w:r>
    </w:p>
    <w:p w14:paraId="36EA5D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四是示范效应显著。通过以点带面，绿色公路建设的成功经验和技术成果已在全行业得到广泛推广，推动绿色公路从试点示范向全域覆盖、从理念倡导向标准化管控转变。</w:t>
      </w:r>
    </w:p>
    <w:p w14:paraId="0A74DF5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sz w:val="24"/>
          <w:szCs w:val="24"/>
          <w:lang w:val="zh-CN"/>
        </w:rPr>
      </w:pPr>
      <w:bookmarkStart w:id="12" w:name="_Toc11112"/>
      <w:r>
        <w:rPr>
          <w:rFonts w:hint="eastAsia" w:ascii="宋体" w:hAnsi="宋体" w:eastAsia="宋体" w:cs="宋体"/>
          <w:b/>
          <w:bCs/>
          <w:sz w:val="24"/>
          <w:szCs w:val="24"/>
          <w:lang w:val="zh-CN"/>
        </w:rPr>
        <w:t>5.2 典型示范工程实践分析</w:t>
      </w:r>
      <w:bookmarkEnd w:id="12"/>
    </w:p>
    <w:p w14:paraId="756837D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13" w:name="_Toc18618"/>
      <w:r>
        <w:rPr>
          <w:rFonts w:hint="eastAsia" w:ascii="宋体" w:hAnsi="宋体" w:eastAsia="宋体" w:cs="宋体"/>
          <w:b/>
          <w:bCs/>
          <w:sz w:val="24"/>
          <w:szCs w:val="24"/>
          <w:lang w:val="zh-CN"/>
        </w:rPr>
        <w:t>5.2.1 广东惠清高速：生态敏感区绿色公路建设的典范</w:t>
      </w:r>
      <w:bookmarkEnd w:id="13"/>
    </w:p>
    <w:p w14:paraId="32A9AF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（1）项目概况</w:t>
      </w:r>
    </w:p>
    <w:p w14:paraId="152DFE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汕湛高速公路惠州至清远段（简称“惠清高速”）是广东省中部地区东西向的重要通道，路线全长125.28公里，采用双向六车道高速公路标准，桥隧比达48.8%。项目沿线穿越南昆山国家级森林公园、流溪河光倒刺鲃国家级水产种质资源保护区、从化五指山县级森林公园等多处生态敏感区，环境保护要求极高。</w:t>
      </w:r>
    </w:p>
    <w:p w14:paraId="7784D6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（2）绿色公路建设亮点</w:t>
      </w:r>
    </w:p>
    <w:p w14:paraId="311C2C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惠清高速以“生态引领、低碳集约、智慧创新、景观和谐、服务共享”为核心理念，构建了覆盖全寿命周期的绿色公路建设体系。</w:t>
      </w:r>
    </w:p>
    <w:p w14:paraId="60D49E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生态保护方面，项目坚持生态选线，通过多方案比选避让生态敏感区10处，减少对自然保护区、森林公园的穿越和切割。施工期实施表土资源收集利用，共收集可利用表土11.6万立方米，用于后期复绿和土地复垦。对沿线2116株珍贵原生树木进行移栽保护，节约绿化成本220万元。在穿越生态敏感区路段，采用“以桥代路”、“以隧代路”方案，最大限度减少地表扰动。隧道洞口实施“零开挖”进洞技术，保护洞口原生植被。</w:t>
      </w:r>
    </w:p>
    <w:p w14:paraId="1B7273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水环境保护方面，项目沿线跨越多个饮用水源保护区和鱼类保护区，施工期实施严格的污水“零排放”管控措施。全线拌合站、预制场设置三级沉淀池和污水循环利用系统，施工废水经处理后回用于生产，实现零外排。运营期在敏感水体路段全线设置路桥面径流收集处理系统，共设置161处径流收集池，实现路域径流的封闭式收集和自动化控制，确保事故废水和初期雨水不直接排入敏感水体。</w:t>
      </w:r>
    </w:p>
    <w:p w14:paraId="47DDD5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资源节约方面，项目推行永临结合，施工便道与地方道路永久利用相结合，总长317公里；临时用电与永久供电统筹建设20处；利用永久征地范围内的路基建设预制梁场，节约临时用地约2000亩。隧道洞渣综合利用，加工成碎石和机制砂用于路面工程和混凝土生产，减少弃方和借方。沥青拌合站采用天然气替代重油，减少污染物排放。</w:t>
      </w:r>
    </w:p>
    <w:p w14:paraId="110789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技术创新方面，项目开展了14项科技攻关项目，引进消化先进成果23项，形成微创新成果150余项。在隧道工程中，研发应用了“生态敏感区绿色隧道成套施工技术”和“岭南山区公路隧道高品质建设与运营关键技术”，提升了隧道建设品质和运营节能水平。在桥梁工程中，开展了“钢-UHPC装配式轻型组合梁桥设计施工关键技术研究”，实现了新型组合结构的示范应用。在智慧建造方面，建立了覆盖项目建设管理系统、质量管理系统、安全信息管理系统等11个子系统的一体化综合管理平台，并开展了基于无人机视觉的高速公路建设管控技术研究。</w:t>
      </w:r>
    </w:p>
    <w:p w14:paraId="20D959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（3）实施成效</w:t>
      </w:r>
    </w:p>
    <w:p w14:paraId="708CFD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惠清高速通过绿色公路创建，取得了显著的生态效益、经济效益和社会效益。项目避让生态敏感区10处，节约用地约2000亩，减少占用高标准农田约150亩，移栽珍贵树木2116株，表土收集利用11.6万立方米。节能减排方面，项目累计节能折合标煤约114万吨。项目获得广东省“平安工地”示范项目第一名，多项管理创新成果获得广东省企业管理现代化创新成果一等奖。惠清高速的成功实践，为生态敏感区高速公路绿色建设提供了可复制、可推广的“广东经验”。</w:t>
      </w:r>
    </w:p>
    <w:p w14:paraId="6A8876C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14" w:name="_Toc17188"/>
      <w:r>
        <w:rPr>
          <w:rFonts w:hint="eastAsia" w:ascii="宋体" w:hAnsi="宋体" w:eastAsia="宋体" w:cs="宋体"/>
          <w:b/>
          <w:bCs/>
          <w:sz w:val="24"/>
          <w:szCs w:val="24"/>
          <w:lang w:val="zh-CN"/>
        </w:rPr>
        <w:t>5.2.2 广东云茂高速：粤西山区绿色公路建设的标杆</w:t>
      </w:r>
      <w:bookmarkEnd w:id="14"/>
    </w:p>
    <w:p w14:paraId="10A011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（1）项目概况</w:t>
      </w:r>
    </w:p>
    <w:p w14:paraId="489D8A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p>
    <w:p w14:paraId="37D1E6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云茂高速公路是广东省高速公路网规划的“九纵线”联络线，路线全长129.816公里，采用双向四车道高速公路标准，桥隧比达39.8%，越岭段桥隧比高达66.64%。项目沿线穿越云开山国家级自然保护区、信宜市黄华江大鲵和水产资源县级自然保护区等多处生态敏感区，地质条件复杂，施工难度大。</w:t>
      </w:r>
    </w:p>
    <w:p w14:paraId="2CBDFB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（2）绿色公路建设亮点</w:t>
      </w:r>
    </w:p>
    <w:p w14:paraId="7FC905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云茂高速以“装配化、绿色技术集成应用”为重点，突出装配化设计与施工、四新技术研发与推广、科普式服务区建造与沿线扶贫、管理制度创新四大特色。</w:t>
      </w:r>
    </w:p>
    <w:p w14:paraId="3888AC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装配化建造方面，云茂高速在广东省首次试点应用装配式涵洞，全线共推广装配式涵洞25座，总涵长1159米，通过工厂化预制、现场“搭积木”式拼装，大大减少了野外施工时间，提高了施工效率和实体质量，并成功总结出一套装配式涵洞标准图集和施工标准化工艺。同时，在广东省首次试点应用钢板组合梁桥，总长达1088米，用钢量达5400余吨，并首次在国内应用三维激光扫描建模技术对钢梁进行虚拟预拼装，节省工期15%以上，降低成本20%以上。</w:t>
      </w:r>
    </w:p>
    <w:p w14:paraId="63FF24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资源循环利用方面，项目改良利用高液限土约100万方，清表耕植土收集利用约3万方，隧道洞渣综合利用约75万方。利用红线内路基建设预制梁场22座，节约临时用地约358亩；通过修筑挡土墙收缩路基边坡坡脚，节约建设用地约500亩。拌和站采用波纹板作为料仓隔墙，减少料仓拆除后产生的混凝土垃圾近15000立方米。</w:t>
      </w:r>
    </w:p>
    <w:p w14:paraId="5C0A68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生态保护方面，项目对沿线2300余株原生大树进行移植保护，用于管理中心、服务区、互通区等景观绿化。实施“永临结合”，为地方增加永久道路174处、长约80公里，通过“三改”工程升级改路300余处、长约63公里，便民工程投入达4.02亿元。</w:t>
      </w:r>
    </w:p>
    <w:p w14:paraId="6FFC7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技术创新方面，云茂高速吸收行业先进经验，开展重要创新15项，引入“四新技术”29项，总结推广“微创新”31项。在国内首次开发并试点应用基于分布式超宽带毫米波干涉雷达技术的隧道形变智能实时监测预警系统。全线推广隧道聚能水压光面爆破、隧道二衬施工成套工艺、高边坡GNSS自动化监测等四新技术。</w:t>
      </w:r>
    </w:p>
    <w:p w14:paraId="59E8A1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管理制度创新方面，云茂高速创新安质管理模式，将业主代表纳入安质管理部统一管理，首次提出业主代表的“两个代表”职责（对施工单位代表业主行使管理职权，对业主代表施工单位反映问题）。建立了勘察设计人员驻场设计制度和优质设计奖励办法，制定《设计变更工作评比与奖惩办法》，充分调动设计人员积极性。</w:t>
      </w:r>
    </w:p>
    <w:p w14:paraId="5692B6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（3）实施成效</w:t>
      </w:r>
    </w:p>
    <w:p w14:paraId="0E79C7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云茂高速通过绿色公路创建，形成了124项绿色公路创建技术清单，其中装配式涵洞、钢板组合梁、三维激光扫描虚拟预拼装等多项技术为广东省首次或国内首次应用。项目累计节约用地约860亩，减少建筑垃圾约1.5万立方米，隧道洞渣综合利用75万方，产生直接经济效益约8000万元。项目打造的“一区一品一馆”特色服务区（白石服务区高速公路建设技术展馆与三华李特色产业结合），成为交旅融合的典型案例。云茂高速的成功实践，为粤西山区绿色公路建设提供了“广东样板”。</w:t>
      </w:r>
    </w:p>
    <w:p w14:paraId="0FA91D3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15" w:name="_Toc19063"/>
      <w:r>
        <w:rPr>
          <w:rFonts w:hint="eastAsia" w:ascii="宋体" w:hAnsi="宋体" w:eastAsia="宋体" w:cs="宋体"/>
          <w:b/>
          <w:bCs/>
          <w:sz w:val="24"/>
          <w:szCs w:val="24"/>
          <w:lang w:val="zh-CN"/>
        </w:rPr>
        <w:t>5.2.3 广东仁博高速：粤北山区绿色公路建设的集成示范</w:t>
      </w:r>
      <w:bookmarkEnd w:id="15"/>
    </w:p>
    <w:p w14:paraId="76777B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（1）项目概况</w:t>
      </w:r>
    </w:p>
    <w:p w14:paraId="0CE240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仁博高速公路是国家高速公路网武汉至深圳高速公路的重要组成部分，路线全长约272公里，桥隧比高，沿线穿越南山省级自然保护区、车八岭国家级自然保护区、丹霞山国家地质公园、锦江鱼类生物多样性自然保护区等多处生态敏感区，水资源保护要求高，土地资源稀缺。</w:t>
      </w:r>
    </w:p>
    <w:p w14:paraId="64AAD5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（2）绿色公路建设亮点</w:t>
      </w:r>
    </w:p>
    <w:p w14:paraId="6DA5EF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仁博高速围绕“生态环保、资源利用、节能降碳、服务提升”四个要素，重点开展了资源循环利用、生态保护修复、污染防治与节能降碳、景观营造与服务提升等方面的集成示范。</w:t>
      </w:r>
    </w:p>
    <w:p w14:paraId="165445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资源循环利用方面，项目将路面施工与隧道施工捆绑招标，将隧道洞渣加工成碎石后应用于路面工程，全线利用隧道洞渣334万方。将风化程度高的洞渣用于路基填筑、涵台背填筑。清表过程中收集表土资源17.6万方，用于原地或异地土地复垦、土壤改良及景观绿化。推广预制梁智能喷淋养护系统和高墩循环养生系统，提高水资源循环利用效率。对沿线煤系土、高液限土进行试验研究后合理利用，利用煤系土11万方、高液限土15万方，减少弃方和借方。</w:t>
      </w:r>
    </w:p>
    <w:p w14:paraId="01B70A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生态保护方面，项目在互通区域、房建场区及边坡等红线范围内划定“生态保护区”，对保护区原生植被进行围闭保护，保护原生植被20.01公顷，移栽重要原生大树1324株。全线注重弃土场复绿、桥下复绿、施工便道复绿等生态修复工程，推进公路绿化、美化、生态化。</w:t>
      </w:r>
    </w:p>
    <w:p w14:paraId="498C13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节能降碳方面，青云山特长隧道（双向六车道，单洞长约6公里）洞内中部3公里范围采用温拌沥青技术，降低路面施工温度约20°，有效降低了洞内烟雾排放。九连山隧道是国内第一个全程应用净味环保沥青的特长隧道，可有效降低沥青烟气达95%以上。全线拌和站选用天然气作为清洁能源，减少有毒有害气体排放。研发了基于陶土填料的生物速分球污水处理新材料新工艺，用于服务区污水处理。</w:t>
      </w:r>
    </w:p>
    <w:p w14:paraId="1C7FBD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在景观营造与服务提升方面，龙门服务区打造观景平台，可俯瞰龙门县城全貌。翁源服务区依托当地丰富的农业资源，打造开放式“绿色生态农业”特色服务区，实现交通与农业融合发展。</w:t>
      </w:r>
    </w:p>
    <w:p w14:paraId="60B404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在质量管理方面，项目创新性提出“1+6+1”现场质量管理模式（1个核心思路、6大保障措施、1项督办创新），有效提升了工程质量管控水平。</w:t>
      </w:r>
    </w:p>
    <w:p w14:paraId="1BA773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（3）实施成效</w:t>
      </w:r>
    </w:p>
    <w:p w14:paraId="43789D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仁博高速通过绿色公路创建，节约土地769亩，利用表土资源17.6万方、煤系土11万方、高液限土15万方、隧道洞渣334万方，施工便道与地方道路结合145公里。节能减排方面，减少CO₂排放约7.1万吨。项目形成的“1+6+1”质量管理模式在行业内得到推广。仁博高速的成功实践，为粤北山区绿色公路建设提供了集成示范。</w:t>
      </w:r>
    </w:p>
    <w:p w14:paraId="6E8F471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16" w:name="_Toc18364"/>
      <w:r>
        <w:rPr>
          <w:rFonts w:hint="eastAsia" w:ascii="宋体" w:hAnsi="宋体" w:eastAsia="宋体" w:cs="宋体"/>
          <w:b/>
          <w:bCs/>
          <w:sz w:val="24"/>
          <w:szCs w:val="24"/>
          <w:lang w:val="zh-CN"/>
        </w:rPr>
        <w:t>5.2.4 浙江千黄高速：水环境敏感区绿色公路与旅游公路双示范</w:t>
      </w:r>
      <w:bookmarkEnd w:id="16"/>
    </w:p>
    <w:p w14:paraId="3047AE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（1）项目概况</w:t>
      </w:r>
    </w:p>
    <w:p w14:paraId="2A109B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溧阳至宁德国家高速公路浙江省淳安段（简称“千黄高速”）路线全长51.422公里，全线位于千岛湖国家风景名胜区外围保护界限及国家二级饮用水源保护区范围内，桥隧比高达78.5%。项目环境保护要求极高，施工和运营期须对水资源实现零扰动、零破坏。</w:t>
      </w:r>
    </w:p>
    <w:p w14:paraId="48D157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（2）绿色公路建设亮点</w:t>
      </w:r>
    </w:p>
    <w:p w14:paraId="6C9115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千黄高速以创建交通运输部“绿色公路”和浙江省“最美旅游公路”双示范为目标，贯彻“近湖不进湖”、“不破坏就是最大的保护”、“路融于绿、人行于景”的理念。</w:t>
      </w:r>
    </w:p>
    <w:p w14:paraId="47DBB3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水环境保护方面，项目采取了“围堵、隔离、过滤、应急和外运处置”等综合防控措施。施工区域全面采用“雨污分离处理、过滤沉淀、废泥渣外运相结合的方式”，严禁一滴施工污废水外排。全线拌合站、预制场、隧道施工均设置多级沉淀池和污水循环利用系统。运营期在全国首次实施全线路（桥）面径流100%收集、100%处理、100%防控，全线布设161处径流收集池，其中金峰停车区大桥段还设置了桥面径流在线监测系统和危化品事故应急转换装置，实现事故水与常规雨水的分别处置。项目水环境安全保障设施投入近3000万元。</w:t>
      </w:r>
    </w:p>
    <w:p w14:paraId="64D0C7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生态保护方面，项目采取“近水不进水”的选线原则，最大限度绕避水体敏感区。隧道洞口实施“零开挖”进洞，保护洞口原生植被。在互通区、隧道鼻端等区域保留原生植被。实施绿篱隔离栅替代传统金属隔离栅，选用马甲子、火棘等乡土刺篱植物，实现生物隔离与景观融合。在临水临山近景路段以及服务区、观景台等临时停靠点设置钢背木护栏，既满足防撞等级要求，又与周边景观协调。</w:t>
      </w:r>
    </w:p>
    <w:p w14:paraId="21D798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资源节约方面，项目大规模隧道挖掘施工弃渣采用“逐级筛选”循环利用，优质碎石用于隧道衬砌混凝土骨料，次级碎石用于挡墙砌块、软基换填，其余残渣用于路基填筑，少弃方500多万方。预制梁场全面推广应用智能喷淋养护和雨水循环利用技术。</w:t>
      </w:r>
    </w:p>
    <w:p w14:paraId="53F01B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节能降碳方面，全线27座隧道（单洞总长超过25公里）全部采用LED绿色节能照明灯具，集成应用智能调光控制技术，与传统高压钠灯相比，每年可节约隧道照明用电512万度，折合标准煤1700多吨。千岛湖停车区实施太阳能光伏清洁能源装机200KW以上。</w:t>
      </w:r>
    </w:p>
    <w:p w14:paraId="06CF9F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景观与服务方面，项目基于融合度的景观设计理念，开展了“千黄高速基于融合度的公路景观设计技术”专项研究。互通区、隧道口、服务区等节点景观与周边自然环境高度融合。项目沿线设置观景平台、旅游指引设施，营造“车在路上走，人在画中游”的高品质驾驶感受。</w:t>
      </w:r>
    </w:p>
    <w:p w14:paraId="4FFD63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（3）实施成效</w:t>
      </w:r>
    </w:p>
    <w:p w14:paraId="42423D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千黄高速通过绿色公路创建，成功实现了“心里绿、水绿、山绿、节地、节能、提升安全品质、资源节约与循环利用、高品质服务”八大目标。项目避让水环境敏感区，保护了千岛湖这一“宝贵水缸”；保护沿线国家森林公园重要植被免受破坏；节约千岛湖核心区土地资源20多亩；隧道照明年节电512万度。千黄高速的成功实践，为水环境敏感区绿色公路建设和旅游公路建设提供了“浙江经验”。</w:t>
      </w:r>
    </w:p>
    <w:p w14:paraId="5ABA893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17" w:name="_Toc29030"/>
      <w:r>
        <w:rPr>
          <w:rFonts w:hint="eastAsia" w:ascii="宋体" w:hAnsi="宋体" w:eastAsia="宋体" w:cs="宋体"/>
          <w:b/>
          <w:bCs/>
          <w:sz w:val="24"/>
          <w:szCs w:val="24"/>
          <w:lang w:val="zh-CN"/>
        </w:rPr>
        <w:t>5.2.5 江西广吉高速：绿色公路与品质工程协同创建的“江西样板”</w:t>
      </w:r>
      <w:bookmarkEnd w:id="17"/>
    </w:p>
    <w:p w14:paraId="3B03C6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（1）项目概况</w:t>
      </w:r>
    </w:p>
    <w:p w14:paraId="497E4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广吉高速公路是国家公路网莆田至炎陵联络线的重要组成部分，路线总长189.276公里，途经抚州、赣州、吉安三市六个县区。项目沿线有青原山、翠微峰等风景名胜，井冈山、“宁都起义”指挥部旧址等红色胜地，以及钓源古村、渼陂古村等古色人文景观，是“绿色、红色、古色”旅游资源富集区。</w:t>
      </w:r>
    </w:p>
    <w:p w14:paraId="1F8FB8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（2）绿色公路建设亮点</w:t>
      </w:r>
    </w:p>
    <w:p w14:paraId="3049EE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广吉高速以“智慧创新、绿色品质、独运匠心、追求卓越”为建设理念，以“绿为魂、质为核”，通过高起点的谋划布局、高境界的工程设计、高品质的标准施工、高层次的环境保护和全方位的创新驱动，打造绿色公路典型示范工程的“江西样板”。</w:t>
      </w:r>
    </w:p>
    <w:p w14:paraId="13093B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设计优化方面，通过初步设计和施工图设计两个阶段的设计优化，项目永久性用地由21289亩减少至19689亩，减少了1600亩，其中耕地减少264亩，未占用基本农田；土石方量由4252万方减少至3981万方，减少了370万方；绕避或基本绕避铀矿、稀土矿等矿区15处，宁都梅江国家湿地公园等生态敏感区4处，水源保护区15处。</w:t>
      </w:r>
    </w:p>
    <w:p w14:paraId="68B267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技术创新方面，K1-K70段采用4cm橡胶粉复合改性沥青上面层（RAC-13C）＋6cm橡胶粉复合改性沥青下面层（RAC-20C），综合利用废旧轮胎，提高路面耐久性。K136-K155、吉安支线段采用排水沥青上面层（PAC-13），提高行车安全性。宁都北枢纽互通3座跨线桥采用钢-混凝土组合梁，发挥钢结构全寿命周期成本优势。赣江特大桥在设计阶段采用BIM技术进行优化，在施工阶段结合挂篮施工和施工监控应用BIM技术。</w:t>
      </w:r>
    </w:p>
    <w:p w14:paraId="6D7BEC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绿色施工方面，项目推行“首件工程示范制”，所有分项工程按“以工程保分项、以分项保分部、以分部保单位、以单位保总体”的质量创优原则，形成标准工法在全线推广。已检桩基I类桩比例达93.2%。在桥面铺装施工中引进“悬挂式桁架分体辊轴激光摊铺机”，将摊铺、振捣、找平合成一道工艺，提高效率和实体质量。在石方爆破中采用“水压爆破”工艺，降低炸药消耗和粉尘污染。引进三联边坡生态防护技术，实现安全防护与生态修复的协调统一。</w:t>
      </w:r>
    </w:p>
    <w:p w14:paraId="613A2E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生态环境保护方面，项目委托江西省环境保护科学研究院进行环境监理，委托江西省交通运输科学研究院进行施工期环境监测，委托江西省水土保持科学研究院进行水土保持监测。全线推行“带绿施工”，挖方边坡做到“开挖一级、绿化一级、防护一级”。橡胶沥青加工设备增加废气收集和VOCs治理措施，做到达标排放。</w:t>
      </w:r>
    </w:p>
    <w:p w14:paraId="3C415E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永临结合方面，全线28个预制梁场有26个设置在主线范围内。C2标砼拌合站、钢筋加工车间、小构预制厂及项目经理部设在新圩养护工区和新圩互通内。BP1标1号黑白站临时用地约130亩，B2标项目经理部及砼拌合站临时用地约21亩，这些土地原本是地方政府规划的学校、新农村建设和物流中心建设用地，施工单位撤场后归还政府，已完成“三通一平”和边坡绿化，为地方节约建设资金超过700万元。</w:t>
      </w:r>
    </w:p>
    <w:p w14:paraId="297032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（3）实施成效</w:t>
      </w:r>
    </w:p>
    <w:p w14:paraId="575AC3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广吉高速通过绿色公路创建，实现了“绿色路、品质路、科技路”的建设目标。项目节约永久用地1600亩，减少土石方370万方，绕避生态敏感区4处、水源保护区15处。项目形成的“一纲五册”（项目管理大纲、安全管理手册、质量管理手册、廉政工作手册、标准化管理实施手册、绿色公路建设实践手册）管理体系，为绿色公路标准化管理提供了范例。广吉高速的成功实践，为绿色公路与品质工程协同创建提供了“江西样板”。</w:t>
      </w:r>
    </w:p>
    <w:p w14:paraId="7DF0699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18" w:name="_Toc15981"/>
      <w:r>
        <w:rPr>
          <w:rFonts w:hint="eastAsia" w:ascii="宋体" w:hAnsi="宋体" w:eastAsia="宋体" w:cs="宋体"/>
          <w:b/>
          <w:bCs/>
          <w:sz w:val="24"/>
          <w:szCs w:val="24"/>
          <w:lang w:val="zh-CN"/>
        </w:rPr>
        <w:t>5.2.6 福建莆炎高速：山区绿色公路的“福建样板”</w:t>
      </w:r>
      <w:bookmarkEnd w:id="18"/>
    </w:p>
    <w:p w14:paraId="072720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（1）项目概况</w:t>
      </w:r>
    </w:p>
    <w:p w14:paraId="4A58D3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莆炎高速公路三明段路线全长237公里，桥隧比达49.1%，沿线穿越闽江源和君子峰两个国家级自然保护区边缘，跨越三明市东牙溪水库水源二级区，沿线分布古银杏树、红豆杉等古树名木，生态环境敏感，旅游资源丰富。</w:t>
      </w:r>
    </w:p>
    <w:p w14:paraId="206D13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（2）绿色公路建设亮点</w:t>
      </w:r>
    </w:p>
    <w:p w14:paraId="325027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莆炎高速以“资源节约、自然和谐、建养并重、创新驱动、示范引领”为核心理念，重点开展土地资源集约节约利用、生态环保设计、重点区域污染防治、绿色（旅游）服务区等方面的示范创建。</w:t>
      </w:r>
    </w:p>
    <w:p w14:paraId="69F00D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在管理制度建设方面，项目全面开展“双创建”工作（绿色公路与品质工程协同创建），建立了定期检查制度、自评估制度、培训制度、奖惩制度等一系列管理制度，引入第三方专业机构开展全过程技术咨询。</w:t>
      </w:r>
    </w:p>
    <w:p w14:paraId="232C86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技术创新方面，项目累计获得13项专利授权、4项软件著作权、48项版权证书。研发的“高速公路装配式混凝土小型构件自动化生产施工工法”获得中国公路建设行业协会公路工程工法。沙溪大桥最大墩高140米，主跨176米钢桁组合梁连续钢构，其BIM技术设计登上央视综合频道《机智过人》第三季舞台。</w:t>
      </w:r>
    </w:p>
    <w:p w14:paraId="22902E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在生态保护方面，项目对沿线古银杏树、红豆杉等古树名木进行挂牌保护。施工期对跨越东牙溪水库的文笔山1号、2号特长隧道（全长9294米）采取严格的防排水措施，防止地下水流失和水质污染。</w:t>
      </w:r>
    </w:p>
    <w:p w14:paraId="2EAF8B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（3）实施成效</w:t>
      </w:r>
    </w:p>
    <w:p w14:paraId="0E92A6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莆炎高速通过绿色公路创建，在制度创新、技术创新、生态保护等方面取得了显著成效。项目形成的可复制、可推广的绿色公路品质工程建设经验，为福建省乃至全国山区公路建设提供了借鉴。</w:t>
      </w:r>
    </w:p>
    <w:p w14:paraId="345AE13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sz w:val="24"/>
          <w:szCs w:val="24"/>
          <w:lang w:val="zh-CN"/>
        </w:rPr>
      </w:pPr>
      <w:bookmarkStart w:id="19" w:name="_Toc11767"/>
      <w:r>
        <w:rPr>
          <w:rFonts w:hint="eastAsia" w:ascii="宋体" w:hAnsi="宋体" w:eastAsia="宋体" w:cs="宋体"/>
          <w:b/>
          <w:bCs/>
          <w:sz w:val="24"/>
          <w:szCs w:val="24"/>
          <w:lang w:val="zh-CN"/>
        </w:rPr>
        <w:t>5.3 共性经验与存在问题</w:t>
      </w:r>
      <w:bookmarkEnd w:id="19"/>
    </w:p>
    <w:p w14:paraId="16B1A08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20" w:name="_Toc32106"/>
      <w:r>
        <w:rPr>
          <w:rFonts w:hint="eastAsia" w:ascii="宋体" w:hAnsi="宋体" w:eastAsia="宋体" w:cs="宋体"/>
          <w:b/>
          <w:bCs/>
          <w:sz w:val="24"/>
          <w:szCs w:val="24"/>
          <w:lang w:val="zh-CN"/>
        </w:rPr>
        <w:t>5.3.1 共性经验</w:t>
      </w:r>
      <w:bookmarkEnd w:id="20"/>
    </w:p>
    <w:p w14:paraId="057E3E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通过对上述典型示范工程的系统分析，编制组总结出以下共性经验：</w:t>
      </w:r>
    </w:p>
    <w:p w14:paraId="3DE730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一是理念引领是绿色公路建设的根本前提。 各示范工程均将绿色发展理念贯穿于项目规划、设计、建设、运营全过程，形成了各具特色的绿色公路建设理念体系。如惠清高速的“生态引领、低碳集约、智慧创新、景观和谐、服务共享”，千黄高速的“近湖不进湖”、“路融于绿、人行于景”，广吉高速的“绿为魂、质为核”等。这些理念为绿色公路建设提供了思想引领和行动指南。</w:t>
      </w:r>
    </w:p>
    <w:p w14:paraId="0A5AB4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二是科技创新是绿色公路建设的核心动力。 各示范工程高度重视科技创新的驱动作用，积极研发和推广应用新技术、新工艺、新材料、新设备。惠清高速开展了14项科技攻关、引进23项先进成果、形成150余项微创新；云茂高速开展了15项重要创新、引入29项四新技术、总结31项微创新；广吉高速引进悬挂式桁架分体辊轴激光摊铺机、水压爆破、三联生态防护等新技术。科技创新有效支撑了绿色公路建设目标的实现。</w:t>
      </w:r>
    </w:p>
    <w:p w14:paraId="176472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三是精细管理是绿色公路建设的重要保障。 各示范工程普遍推行标准化管理、精细化施工、信息化管控。惠清高速建立了覆盖项目建设管理系统、质量管理系统、安全信息管理系统等的一体化综合管理平台；广吉高速推行“首件工程示范制”、“一纲五册”管理体系；仁博高速创新“1+6+1”质量管理模式；云茂高速创新“两个代表”安质管理模式。这些管理创新为绿色公路建设提供了制度保障。</w:t>
      </w:r>
    </w:p>
    <w:p w14:paraId="3BE2EF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四是因地制宜是绿色公路建设的基本原则。 各示范工程均根据项目所在区域的自然地理特征、生态环境条件、经济社会发展需求，确定差异化的绿色公路建设重点和路径。惠清高速聚焦生态敏感区保护，千黄高速聚焦水环境保护，广吉高速聚焦资源节约和品质提升，云茂高速聚焦装配化建造和资源循环利用。因地制宜确保了绿色公路建设的针对性和实效性。</w:t>
      </w:r>
    </w:p>
    <w:p w14:paraId="092B46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五是示范引领是绿色公路推广的有效途径。 交通运输部确定的三批33个绿色公路建设典型示范工程，以及各省开展的省级试点示范项目，通过以点带面，成功地将绿色公路建设的先进理念、成熟技术、成功经验在全行业推广，推动了绿色公路从试点示范向全域覆盖的转变。</w:t>
      </w:r>
    </w:p>
    <w:p w14:paraId="3E57136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21" w:name="_Toc3854"/>
      <w:r>
        <w:rPr>
          <w:rFonts w:hint="eastAsia" w:ascii="宋体" w:hAnsi="宋体" w:eastAsia="宋体" w:cs="宋体"/>
          <w:b/>
          <w:bCs/>
          <w:sz w:val="24"/>
          <w:szCs w:val="24"/>
          <w:lang w:val="zh-CN"/>
        </w:rPr>
        <w:t>5.3.2 存在问题</w:t>
      </w:r>
      <w:bookmarkEnd w:id="21"/>
    </w:p>
    <w:p w14:paraId="0ABD96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尽管我国绿色公路建设取得了显著成效，但在调研中也发现了一些共性问题：</w:t>
      </w:r>
    </w:p>
    <w:p w14:paraId="54C0D4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一是绿色公路等级评价标准缺失。 目前各示范工程的绿色公路建设成效缺乏统一的评价标尺，不同项目之间的绿色化程度难以横向比较，绿色公路等级认定缺乏权威依据。</w:t>
      </w:r>
    </w:p>
    <w:p w14:paraId="1AEABC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二是分阶段评价机制尚未建立。 现有实践多侧重于项目建成后的综合评估，对绿色设计、绿色施工阶段的独立评价和过程管控关注不足，难以实现全寿命周期的动态优化。</w:t>
      </w:r>
    </w:p>
    <w:p w14:paraId="665705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三是碳排放核算与碳减排目标尚未纳入常规管理。 尽管部分示范工程开展了碳排放测算和节能效益分析，但尚未形成标准化的核算方法和常态化的管理机制，与“双碳”目标要求存在差距。</w:t>
      </w:r>
    </w:p>
    <w:p w14:paraId="6C819D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四是绿色公路建设的区域不平衡问题仍然突出。 东部沿海和经济发达地区的绿色公路建设水平明显高于中西部地区，不同省份之间的绿色公路技术标准和管理能力存在较大差异。</w:t>
      </w:r>
    </w:p>
    <w:p w14:paraId="2BBCE4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五是绿色公路建设的长效机制有待完善。 部分示范工程的绿色公路建设依赖于项目参建各方的主动性和积极性，缺乏持续的政策激励和约束机制，绿色公路建设成果的保持和提升面临挑战。</w:t>
      </w:r>
    </w:p>
    <w:p w14:paraId="4DA53A2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sz w:val="24"/>
          <w:szCs w:val="24"/>
          <w:lang w:val="zh-CN"/>
        </w:rPr>
      </w:pPr>
      <w:bookmarkStart w:id="22" w:name="_Toc2970"/>
      <w:r>
        <w:rPr>
          <w:rFonts w:hint="eastAsia" w:ascii="宋体" w:hAnsi="宋体" w:eastAsia="宋体" w:cs="宋体"/>
          <w:b/>
          <w:bCs/>
          <w:sz w:val="24"/>
          <w:szCs w:val="24"/>
          <w:lang w:val="zh-CN"/>
        </w:rPr>
        <w:t>5.4 对本标准编制的启示</w:t>
      </w:r>
      <w:bookmarkEnd w:id="22"/>
    </w:p>
    <w:p w14:paraId="6FC5C2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上述同类工程现状调研为本标准编制提供了重要启示：</w:t>
      </w:r>
    </w:p>
    <w:p w14:paraId="0DDA35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第一，本标准应建立覆盖绿色设计、绿色施工、绿色公路三阶段的分级评价体系。 各示范工程的实践证明，绿色公路建设成效取决于设计、施工、运营各阶段的协同推进。分阶段评价有利于过程管控和动态优化，也有利于设计单位、施工单位、运营单位分别获得相应的绿色等级认定。</w:t>
      </w:r>
    </w:p>
    <w:p w14:paraId="7D5E13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第二，本标准应充分吸纳示范工程的成熟技术和成功经验。 如永临结合、表土资源利用、隧道洞渣高值化利用、废旧路面材料再生利用、温拌沥青技术、隧道智能通风照明、可再生能源利用、装配化施工、BIM技术应用、桥面径流收集处理、生态边沟、野生动物通道、交旅融合等，应在本标准指标体系中予以体现。</w:t>
      </w:r>
    </w:p>
    <w:p w14:paraId="7E9E7E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第三，本标准应设置科学的量化指标和等级划分标准。 各示范工程在资源节约、生态环保、节能降碳等方面积累了大量可量化的数据（如土石方综合利用率、表土收集利用率、旧路面材料再生利用率、可再生能源自洽率等），为本标准指标阈值的确定提供了依据。</w:t>
      </w:r>
    </w:p>
    <w:p w14:paraId="59E4B7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第四，本标准应充分体现“双碳”目标要求。 增设碳排放核算、碳减排目标、可再生能源利用、零碳服务区等指标，引领行业绿色低碳转型。</w:t>
      </w:r>
    </w:p>
    <w:p w14:paraId="7B2D38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第五，本标准应兼顾地域差异，设置指标调整机制。 考虑到我国地域辽阔，自然地理条件差异大，应允许高寒、荒漠、沿海等特殊区域根据实际情况申请不参评指标或调整指标要求。</w:t>
      </w:r>
    </w:p>
    <w:p w14:paraId="24E9F2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综上所述，同类工程现状调研为本标准的编制奠定了坚实的实践基础，本标准将在充分吸收示范工程成功经验的基础上，构建一套科学、统一、可操作的绿色公路等级评价体系。</w:t>
      </w:r>
    </w:p>
    <w:p w14:paraId="74C60A50">
      <w:pPr>
        <w:pStyle w:val="9"/>
        <w:keepNext w:val="0"/>
        <w:keepLines w:val="0"/>
        <w:pageBreakBefore w:val="0"/>
        <w:widowControl w:val="0"/>
        <w:numPr>
          <w:ilvl w:val="0"/>
          <w:numId w:val="3"/>
        </w:numPr>
        <w:kinsoku/>
        <w:wordWrap/>
        <w:overflowPunct/>
        <w:topLinePunct w:val="0"/>
        <w:autoSpaceDE/>
        <w:autoSpaceDN/>
        <w:bidi w:val="0"/>
        <w:adjustRightInd/>
        <w:snapToGrid/>
        <w:ind w:left="420" w:hanging="420"/>
        <w:textAlignment w:val="auto"/>
        <w:outlineLvl w:val="0"/>
        <w:rPr>
          <w:b/>
          <w:bCs w:val="0"/>
          <w:sz w:val="28"/>
          <w:szCs w:val="28"/>
          <w:lang w:val="zh-CN"/>
        </w:rPr>
      </w:pPr>
      <w:bookmarkStart w:id="23" w:name="_Toc11584"/>
      <w:r>
        <w:rPr>
          <w:b/>
          <w:bCs w:val="0"/>
          <w:sz w:val="28"/>
          <w:szCs w:val="28"/>
        </w:rPr>
        <w:fldChar w:fldCharType="begin"/>
      </w:r>
      <w:r>
        <w:rPr>
          <w:b/>
          <w:bCs w:val="0"/>
          <w:sz w:val="28"/>
          <w:szCs w:val="28"/>
        </w:rPr>
        <w:instrText xml:space="preserve"> HYPERLINK \l "_Toc234978613" </w:instrText>
      </w:r>
      <w:r>
        <w:rPr>
          <w:b/>
          <w:bCs w:val="0"/>
          <w:sz w:val="28"/>
          <w:szCs w:val="28"/>
        </w:rPr>
        <w:fldChar w:fldCharType="separate"/>
      </w:r>
      <w:r>
        <w:rPr>
          <w:rFonts w:hint="eastAsia"/>
          <w:b/>
          <w:bCs w:val="0"/>
          <w:sz w:val="28"/>
          <w:szCs w:val="28"/>
        </w:rPr>
        <w:t>主要技术内容及说明</w:t>
      </w:r>
      <w:r>
        <w:rPr>
          <w:rFonts w:hint="eastAsia"/>
          <w:b/>
          <w:bCs w:val="0"/>
          <w:sz w:val="28"/>
          <w:szCs w:val="28"/>
        </w:rPr>
        <w:fldChar w:fldCharType="end"/>
      </w:r>
      <w:bookmarkEnd w:id="23"/>
    </w:p>
    <w:p w14:paraId="32399F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绿色公路等级评价标准》以推动公路行业绿色低碳高质量发展为核心目标，系统构建了覆盖全寿命周期、多维度协同的绿色公路等级评价体系。本标准共分8章，主要内容包括：范围、规范性引用文件、术语和定义、总体要求、评价指标方法及等级划分、绿色设计等级评价、绿色施工阶段等级评价、绿色公路评价及附录。以下对标准的主要技术内容及其确定依据进行说明。</w:t>
      </w:r>
    </w:p>
    <w:p w14:paraId="0BAF20C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sz w:val="24"/>
          <w:szCs w:val="24"/>
          <w:lang w:val="zh-CN"/>
        </w:rPr>
      </w:pPr>
      <w:bookmarkStart w:id="24" w:name="_Toc16221"/>
      <w:r>
        <w:rPr>
          <w:rFonts w:hint="eastAsia" w:ascii="宋体" w:hAnsi="宋体" w:eastAsia="宋体" w:cs="宋体"/>
          <w:b/>
          <w:bCs/>
          <w:sz w:val="24"/>
          <w:szCs w:val="24"/>
          <w:lang w:val="zh-CN"/>
        </w:rPr>
        <w:t>6.1 标准适用范围与总体框架</w:t>
      </w:r>
      <w:bookmarkEnd w:id="24"/>
    </w:p>
    <w:p w14:paraId="2862EC4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25" w:name="_Toc11525"/>
      <w:r>
        <w:rPr>
          <w:rFonts w:hint="eastAsia" w:ascii="宋体" w:hAnsi="宋体" w:eastAsia="宋体" w:cs="宋体"/>
          <w:b/>
          <w:bCs/>
          <w:sz w:val="24"/>
          <w:szCs w:val="24"/>
          <w:lang w:val="zh-CN"/>
        </w:rPr>
        <w:t>6.1.1 适用范围</w:t>
      </w:r>
      <w:bookmarkEnd w:id="25"/>
    </w:p>
    <w:p w14:paraId="054047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本标准明确规定适用于新建、改扩建的二级及以上等级公路的绿色设计等级评价、绿色施工阶段等级评价以及绿色公路综合等级评价。这一范围确定的依据如下：</w:t>
      </w:r>
    </w:p>
    <w:p w14:paraId="4F55EA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一是基于我国绿色公路建设的实践基础。《中国绿色公路发展报告》显示，我国绿色公路典型示范工程主要集中在高速公路和一级公路，二级及以上等级公路是绿色公路建设的主战场。二级以下公路由于建设规模小、技术标准低，其绿色评价可参照执行。</w:t>
      </w:r>
    </w:p>
    <w:p w14:paraId="7DABAC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二是覆盖新建与改扩建两种建设类型。随着我国公路网逐步完善，改扩建项目占比逐年上升。本标准在指标设置上充分考虑了改扩建项目的特点，如旧路面材料再生利用、永临结合、既有设施更新利用等指标，体现了对改扩建项目的针对性设计。</w:t>
      </w:r>
    </w:p>
    <w:p w14:paraId="3CEC01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三是分阶段评价的体系设计。本标准突破现有标准仅关注项目建成后综合评估的局限，率先提出分阶段评价模式，即绿色设计评价、绿色施工阶段评价和绿色公路评价三阶段，可独立用于设计、施工以及项目建成后等级认定。这一设计有利于在全寿命周期各关键节点开展过程管控和动态优化，也便于设计单位、施工单位和运营单位分别申请相应阶段的绿色等级认定。</w:t>
      </w:r>
    </w:p>
    <w:p w14:paraId="478190D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sz w:val="24"/>
          <w:szCs w:val="24"/>
          <w:lang w:val="zh-CN"/>
        </w:rPr>
      </w:pPr>
      <w:r>
        <w:rPr>
          <w:rFonts w:hint="eastAsia" w:ascii="宋体" w:hAnsi="宋体" w:eastAsia="宋体" w:cs="宋体"/>
          <w:b/>
          <w:bCs/>
          <w:sz w:val="24"/>
          <w:szCs w:val="24"/>
          <w:lang w:val="zh-CN"/>
        </w:rPr>
        <w:t xml:space="preserve"> </w:t>
      </w:r>
      <w:bookmarkStart w:id="26" w:name="_Toc7298"/>
      <w:r>
        <w:rPr>
          <w:rFonts w:hint="eastAsia" w:ascii="宋体" w:hAnsi="宋体" w:eastAsia="宋体" w:cs="宋体"/>
          <w:b/>
          <w:bCs/>
          <w:sz w:val="24"/>
          <w:szCs w:val="24"/>
          <w:lang w:val="zh-CN"/>
        </w:rPr>
        <w:t>6.1.2 总体框架</w:t>
      </w:r>
      <w:bookmarkEnd w:id="26"/>
    </w:p>
    <w:p w14:paraId="68D760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本标准按照“目标—原则—方法—指标—等级”的逻辑主线构建总体框架。</w:t>
      </w:r>
    </w:p>
    <w:p w14:paraId="4062A5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总体要求（第4章）：明确了评价对象的基本条件、评价原则、评价时间节点、特殊区域指标调整机制以及不予评价的情形，为评价工作提供了基本遵循。</w:t>
      </w:r>
    </w:p>
    <w:p w14:paraId="527233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评价指标、方法及等级划分（第5章）：规定了评价指标体系的构成、评分方法（基准总分100分、不参评指标处理、百分制得分计算）及星级划分标准（三星级75≤P＜85、四星级85≤P＜90、五星级P≥90）。</w:t>
      </w:r>
    </w:p>
    <w:p w14:paraId="1AE21E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三阶段评价（第6、7、8章）：分别规定了绿色设计、绿色施工、绿色公路三个阶段的评价指标体系、指标分值和计分方法，各阶段既相互独立又有机衔接。</w:t>
      </w:r>
    </w:p>
    <w:p w14:paraId="1D18BE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附录（附录A）：规定了可不参评指标的限制性条件，包括受自然环境影响和受公路不同建设特点影响的可不参评指标清单，体现了标准的灵活性和适应性。</w:t>
      </w:r>
    </w:p>
    <w:p w14:paraId="22C2187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sz w:val="24"/>
          <w:szCs w:val="24"/>
          <w:lang w:val="zh-CN"/>
        </w:rPr>
      </w:pPr>
      <w:bookmarkStart w:id="27" w:name="_Toc30556"/>
      <w:r>
        <w:rPr>
          <w:rFonts w:hint="eastAsia" w:ascii="宋体" w:hAnsi="宋体" w:eastAsia="宋体" w:cs="宋体"/>
          <w:b/>
          <w:bCs/>
          <w:sz w:val="24"/>
          <w:szCs w:val="24"/>
          <w:lang w:val="zh-CN"/>
        </w:rPr>
        <w:t>6.2 总体要求说明</w:t>
      </w:r>
      <w:bookmarkEnd w:id="27"/>
    </w:p>
    <w:p w14:paraId="533885F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28" w:name="_Toc13004"/>
      <w:r>
        <w:rPr>
          <w:rFonts w:hint="eastAsia" w:ascii="宋体" w:hAnsi="宋体" w:eastAsia="宋体" w:cs="宋体"/>
          <w:b/>
          <w:bCs/>
          <w:sz w:val="24"/>
          <w:szCs w:val="24"/>
          <w:lang w:val="zh-CN"/>
        </w:rPr>
        <w:t>6.2.1 与国家政策的衔接</w:t>
      </w:r>
      <w:bookmarkEnd w:id="28"/>
    </w:p>
    <w:p w14:paraId="087627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第4.1条明确要求评价对象的设计、施工符合《财政部交通运输部关于组织开展“政府采购支持公路绿色低碳发展”试点工作的通知》（财库〔2025〕32号）附件4《政府采购支持公路绿色低碳发展基本要求（试行）》。这一规定将本标准与国家绿色采购政策紧密衔接，体现了标准与国家战略的同频共振。</w:t>
      </w:r>
    </w:p>
    <w:p w14:paraId="0A8256E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29" w:name="_Toc1206"/>
      <w:r>
        <w:rPr>
          <w:rFonts w:hint="eastAsia" w:ascii="宋体" w:hAnsi="宋体" w:eastAsia="宋体" w:cs="宋体"/>
          <w:b/>
          <w:bCs/>
          <w:sz w:val="24"/>
          <w:szCs w:val="24"/>
          <w:lang w:val="zh-CN"/>
        </w:rPr>
        <w:t>6.2.2 评价时间节点的确定</w:t>
      </w:r>
      <w:bookmarkEnd w:id="29"/>
    </w:p>
    <w:p w14:paraId="65C63F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第4.5条对三阶段评价的时间节点作出明确规定：</w:t>
      </w:r>
    </w:p>
    <w:p w14:paraId="4E98F2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绿色设计评价应在施工图批复后、项目交工验收前完成。这一时间节点设计确保了评价依据（施工图设计文件）的权威性和稳定性，同时为施工阶段落实绿色设计要求预留了时间窗口。</w:t>
      </w:r>
    </w:p>
    <w:p w14:paraId="664FB6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绿色施工评价应在项目交工验收后一个月前完成。这一安排使施工评价结果可作为交工验收的参考依据，体现了过程管控的理念。</w:t>
      </w:r>
    </w:p>
    <w:p w14:paraId="796C93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绿色公路评价应在项目通车运营满一年后开展。运营满一年后，交通量、能耗、排放等数据趋于稳定，能够客观反映项目的实际绿色运营水平，同时也为运营期暴露出的问题提供了整改时间。</w:t>
      </w:r>
    </w:p>
    <w:p w14:paraId="1DC152D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sz w:val="24"/>
          <w:szCs w:val="24"/>
          <w:lang w:val="zh-CN"/>
        </w:rPr>
      </w:pPr>
      <w:r>
        <w:rPr>
          <w:rFonts w:hint="eastAsia" w:ascii="宋体" w:hAnsi="宋体" w:eastAsia="宋体" w:cs="宋体"/>
          <w:b/>
          <w:bCs/>
          <w:sz w:val="24"/>
          <w:szCs w:val="24"/>
          <w:lang w:val="zh-CN"/>
        </w:rPr>
        <w:t xml:space="preserve"> </w:t>
      </w:r>
      <w:bookmarkStart w:id="30" w:name="_Toc2486"/>
      <w:r>
        <w:rPr>
          <w:rFonts w:hint="eastAsia" w:ascii="宋体" w:hAnsi="宋体" w:eastAsia="宋体" w:cs="宋体"/>
          <w:b/>
          <w:bCs/>
          <w:sz w:val="24"/>
          <w:szCs w:val="24"/>
          <w:lang w:val="zh-CN"/>
        </w:rPr>
        <w:t>6.2.3 地域差异的考虑</w:t>
      </w:r>
      <w:bookmarkEnd w:id="30"/>
    </w:p>
    <w:p w14:paraId="49D6DE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第4.6条规定“评价应兼顾地域特点，高寒、荒漠、沿海等特殊区域可按附录A申请指标调整”。这一规定基于我国地域辽阔、自然地理条件差异巨大的现实。《中国绿色公路发展报告》指出，青海、西藏等高寒地区公路建设面临冻土、生态脆弱等特殊问题，新疆、内蒙古等荒漠地区水资源极度匮乏，沿海地区则面临台风、盐雾腐蚀等挑战。附录A明确了可不参评指标的限制性条件，如“项目所在区域无降雪或冬季无需除雪”可申请不参评“环保型除雪”指标，“项目所在区域不具备可再生能源开发利用条件”可申请不参评“可再生能源利用”指标。这一机制确保了标准在全国范围内的适用性。</w:t>
      </w:r>
    </w:p>
    <w:p w14:paraId="2F28F5E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r>
        <w:rPr>
          <w:rFonts w:hint="eastAsia" w:ascii="宋体" w:hAnsi="宋体" w:eastAsia="宋体" w:cs="宋体"/>
          <w:b/>
          <w:bCs/>
          <w:sz w:val="24"/>
          <w:szCs w:val="24"/>
          <w:lang w:val="zh-CN"/>
        </w:rPr>
        <w:t xml:space="preserve"> </w:t>
      </w:r>
      <w:bookmarkStart w:id="31" w:name="_Toc13355"/>
      <w:r>
        <w:rPr>
          <w:rFonts w:hint="eastAsia" w:ascii="宋体" w:hAnsi="宋体" w:eastAsia="宋体" w:cs="宋体"/>
          <w:b/>
          <w:bCs/>
          <w:sz w:val="24"/>
          <w:szCs w:val="24"/>
          <w:lang w:val="zh-CN"/>
        </w:rPr>
        <w:t>6.2.4 不予评价情形的设定</w:t>
      </w:r>
      <w:bookmarkEnd w:id="31"/>
    </w:p>
    <w:p w14:paraId="05FE70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p>
    <w:p w14:paraId="19B982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第4.7条规定近3年内出现重大生态破坏、环境污染事故、重大质量安全责任事故、因环境问题受到行政处罚、碳排放或环境监测数据弄虚作假等情形的，不予评价。这一“一票否决”机制体现了绿色公路评价的严肃性和底线思维，确保获得绿色等级认定的项目具有良好的环境合规记录和社会声誉。</w:t>
      </w:r>
    </w:p>
    <w:p w14:paraId="29A8BC7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sz w:val="24"/>
          <w:szCs w:val="24"/>
          <w:lang w:val="zh-CN"/>
        </w:rPr>
      </w:pPr>
      <w:bookmarkStart w:id="32" w:name="_Toc19295"/>
      <w:r>
        <w:rPr>
          <w:rFonts w:hint="eastAsia" w:ascii="宋体" w:hAnsi="宋体" w:eastAsia="宋体" w:cs="宋体"/>
          <w:b/>
          <w:bCs/>
          <w:sz w:val="24"/>
          <w:szCs w:val="24"/>
          <w:lang w:val="zh-CN"/>
        </w:rPr>
        <w:t>6.3 评价指标体系说明</w:t>
      </w:r>
      <w:bookmarkEnd w:id="32"/>
    </w:p>
    <w:p w14:paraId="5A76E6C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33" w:name="_Toc14649"/>
      <w:r>
        <w:rPr>
          <w:rFonts w:hint="eastAsia" w:ascii="宋体" w:hAnsi="宋体" w:eastAsia="宋体" w:cs="宋体"/>
          <w:b/>
          <w:bCs/>
          <w:sz w:val="24"/>
          <w:szCs w:val="24"/>
          <w:lang w:val="zh-CN"/>
        </w:rPr>
        <w:t>6.3.1 指标体系框架设计</w:t>
      </w:r>
      <w:bookmarkEnd w:id="33"/>
    </w:p>
    <w:p w14:paraId="6CDA9A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本标准构建了“三阶段、六维度”的多层级评价指标体系。三阶段即绿色设计、绿色施工、绿色公路；六维度即绿色理念、生态环保、资源节约、节能降碳、品质建设、服务提升。各阶段指标设置略有差异，体现了各阶段的侧重点：</w:t>
      </w:r>
    </w:p>
    <w:p w14:paraId="2F3EF9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绿色设计阶段：设置绿色理念、生态环保、资源节约、节能降碳、品质建设、服务提升6类一级指标，满分100分。其中服务提升指标在绿色设计阶段即纳入评价，体现了“设计引领”的理念——交旅融合、绿色能源供给设施、景观融合等需要在设计阶段统筹规划。</w:t>
      </w:r>
    </w:p>
    <w:p w14:paraId="64436B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绿色施工阶段：设置绿色理念、生态环保、资源节约、节能低碳、品质建设5类一级指标，满分100分。服务提升指标在施工阶段暂不评价，因为服务设施的建设成效需在运营阶段才能体现。</w:t>
      </w:r>
    </w:p>
    <w:p w14:paraId="2E2B5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绿色公路阶段：设置绿色理念、生态环保、资源节约、节能降碳、品质建设、服务提升6类一级指标，满分100分。该阶段是对项目全寿命周期绿色水平的综合认定，指标覆盖最为全面。</w:t>
      </w:r>
    </w:p>
    <w:p w14:paraId="4F956D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这一指标体系的构建依据主要来自三个方面：一是JT/T 1199.1-2018《绿色交通设施评估技术要求 第1部分：绿色公路》的七类一级指标框架；二是《中国绿色公路发展报告》中提出的“全寿命周期、全领域、全要素、全方位、全视域”核心特征；三是各典型示范工程的实践经验，如惠清高速的“生态引领、低碳集约、智慧创新、景观和谐、服务共享”五大理念。</w:t>
      </w:r>
    </w:p>
    <w:p w14:paraId="76E9499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34" w:name="_Toc12223"/>
      <w:r>
        <w:rPr>
          <w:rFonts w:hint="eastAsia" w:ascii="宋体" w:hAnsi="宋体" w:eastAsia="宋体" w:cs="宋体"/>
          <w:b/>
          <w:bCs/>
          <w:sz w:val="24"/>
          <w:szCs w:val="24"/>
          <w:lang w:val="zh-CN"/>
        </w:rPr>
        <w:t>6.3.2 绿色理念指标说明</w:t>
      </w:r>
      <w:bookmarkEnd w:id="34"/>
    </w:p>
    <w:p w14:paraId="0CFDF1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绿色理念指标是各阶段评价的“软实力”体现，旨在评价项目在绿色公路建设方面的顶层设计、组织保障和过程管理能力。</w:t>
      </w:r>
    </w:p>
    <w:p w14:paraId="62BBA1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战略规划（设计阶段6.5分、运营阶段6.5分）：包括环评批复落实情况、绿色公路实施方案编制、绿色公路设计专篇、试点示范立项、绿色施工管理体系建立等。这一指标的设计体现了绿色公路建设需要“规划先行、制度保障”的理念。以广吉高速为例，其编制的“一纲五册”管理体系为绿色公路建设提供了制度保障，成为其成功的重要经验。</w:t>
      </w:r>
    </w:p>
    <w:p w14:paraId="32AF3B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专项资金（2.0分）：评价项目概预算中是否设有绿色公路专项资金以及是否获得绿色金融支持。《交通运输绿色低碳发展的中国实践》指出，绿色金融保障是绿色交通发展的重要支撑，国家绿色发展基金、绿色信贷等金融工具可为绿色公路建设提供资金支持。</w:t>
      </w:r>
    </w:p>
    <w:p w14:paraId="041AC6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咨询与培训（3.5分）：评价是否开展绿色公路专项技术咨询和人员培训。惠清高速、云茂高速等示范工程均引入了全过程技术咨询机制，实践证明这一机制对提升绿色公路建设水平具有显著效果。</w:t>
      </w:r>
    </w:p>
    <w:p w14:paraId="1A788C3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sz w:val="24"/>
          <w:szCs w:val="24"/>
          <w:lang w:val="zh-CN"/>
        </w:rPr>
      </w:pPr>
      <w:r>
        <w:rPr>
          <w:rFonts w:hint="eastAsia" w:ascii="宋体" w:hAnsi="宋体" w:eastAsia="宋体" w:cs="宋体"/>
          <w:b/>
          <w:bCs/>
          <w:sz w:val="24"/>
          <w:szCs w:val="24"/>
          <w:lang w:val="zh-CN"/>
        </w:rPr>
        <w:t xml:space="preserve"> </w:t>
      </w:r>
      <w:bookmarkStart w:id="35" w:name="_Toc15520"/>
      <w:r>
        <w:rPr>
          <w:rFonts w:hint="eastAsia" w:ascii="宋体" w:hAnsi="宋体" w:eastAsia="宋体" w:cs="宋体"/>
          <w:b/>
          <w:bCs/>
          <w:sz w:val="24"/>
          <w:szCs w:val="24"/>
          <w:lang w:val="zh-CN"/>
        </w:rPr>
        <w:t>6.3.3 生态环保指标说明</w:t>
      </w:r>
      <w:bookmarkEnd w:id="35"/>
    </w:p>
    <w:p w14:paraId="57104D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生态环保指标是绿色公路评价的核心指标之一，在绿色设计阶段满分22分，绿色施工阶段满分28分，绿色公路阶段满分22分，体现了生态保护在绿色公路建设中的优先地位。</w:t>
      </w:r>
    </w:p>
    <w:p w14:paraId="2FF62E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（1）生态保护与修复</w:t>
      </w:r>
    </w:p>
    <w:p w14:paraId="2B7B21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生态保护：包括路线避绕生态敏感区、不良地质避绕、古树名木保护、野生动物通道设置、表土资源利用等。这些指标的设置基于《中国绿色公路发展报告》中总结的实践经验。例如，海满高速公路二卡湿地段采用“以桥代路”方案保护湿地生态系统，设置野生动物通道保障黄羊、孢子等动物迁徙；新疆S11高速公路建设22座下穿式野生动物通道，记录到6种野生动物使用通道，证明了动物通道的有效性。</w:t>
      </w:r>
    </w:p>
    <w:p w14:paraId="4B0674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生态修复：包括穿越生态敏感区路段的生态修复设计、绿化设计本地物种占比、取弃土场水土保持设计、临时用地恢复等。这些指标的设计吸收了千黄高速“近自然生态修复”、仁博高速“划定生态保护区”等成功经验。</w:t>
      </w:r>
    </w:p>
    <w:p w14:paraId="0E0BD6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（2）污染防控与治理</w:t>
      </w:r>
    </w:p>
    <w:p w14:paraId="51C61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污染防控：包括法定环境敏感区避绕率、施工组织设计污染防控方案等。施工期环境质量与污染排放监测达标率（施工阶段5分、4分、3分）采用达标率分级计分方式（100%达标得满分，达标率下降则得分递减），体现了对环保合规的刚性约束。</w:t>
      </w:r>
    </w:p>
    <w:p w14:paraId="7B19CF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污染治理：包括水环境敏感路段路（桥）面径流收集处理率、附属设施污水处理设计、声环境敏感路段降噪措施等。其中桥面径流收集处理率100%得1.5分的要求，直接源于千黄高速“全线路桥面径流100%收集、100%处理、100%防控”的成功实践。</w:t>
      </w:r>
    </w:p>
    <w:p w14:paraId="5748BCD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36" w:name="_Toc29331"/>
      <w:r>
        <w:rPr>
          <w:rFonts w:hint="eastAsia" w:ascii="宋体" w:hAnsi="宋体" w:eastAsia="宋体" w:cs="宋体"/>
          <w:b/>
          <w:bCs/>
          <w:sz w:val="24"/>
          <w:szCs w:val="24"/>
          <w:lang w:val="zh-CN"/>
        </w:rPr>
        <w:t>6.3.4 资源节约指标说明</w:t>
      </w:r>
      <w:bookmarkEnd w:id="36"/>
    </w:p>
    <w:p w14:paraId="345824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资源节约指标在绿色设计阶段满分20分，绿色施工阶段满分28分，绿色公路阶段满分20分，是权重较高的指标类别，体现了“循环利用就是最大的节约”的绿色公路建设理念。</w:t>
      </w:r>
    </w:p>
    <w:p w14:paraId="4DD204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（1）土地节约集约利用</w:t>
      </w:r>
    </w:p>
    <w:p w14:paraId="0C9544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集约利用：包括通道资源统筹利用、建设用地指标优化率、服务设施合建比例等。《中国绿色公路发展报告》指出，沪苏通长江公铁大桥统筹铁路与公路共用通道，集约利用了宝贵的过江通道资源；广吉高速通过设计优化减少永久用地1600亩。</w:t>
      </w:r>
    </w:p>
    <w:p w14:paraId="0C6B25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节约利用：包括低路堤、浅路堑设计、永临结合、桥隧比优化等。永临结合指标在设计和施工阶段均有设置，体现了这一做法的普遍推广价值。云茂高速通过永临结合为地方增加永久道路174处、长约80公里，成为资源节约与惠民利民相结合的典范。</w:t>
      </w:r>
    </w:p>
    <w:p w14:paraId="09F68C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（2）废旧资源循环利用</w:t>
      </w:r>
    </w:p>
    <w:p w14:paraId="693F07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土石方与洞渣利用：包括土石方综合利用率、隧道洞渣高值化利用率。仁博高速利用隧道洞渣334万方，千黄高速少弃方500多万方，这些数据为指标阈值的确定提供了依据。</w:t>
      </w:r>
    </w:p>
    <w:p w14:paraId="09C2BA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固废与废旧材料利用：包括沥青混合料回收料（RAP）利用率、水泥混凝土废料利用率、建筑垃圾与工业固废筑路利用率、集料类废旧材料使用率、老旧设施更新利用率等。根据《交通运输绿色低碳发展的中国实践》和《“十四五”公路养护管理发展纲要》，到2025年高速公路、普通国省道沥青路面材料循环利用率分别达到95%、80%以上。本标准将RAP利用率≥90%设为得2.0分的高标准，体现了引领行业发展的导向。</w:t>
      </w:r>
    </w:p>
    <w:p w14:paraId="1CDF80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（3）水循环利用</w:t>
      </w:r>
    </w:p>
    <w:p w14:paraId="3D7D4C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p>
    <w:p w14:paraId="48AAA5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中水回用：评价服务区、管理中心等附属设施中水回用率。JT/T 645系列标准对公路服务区污水再生利用作出了技术规定，本标准在此基础上设置了量化评价指标。</w:t>
      </w:r>
    </w:p>
    <w:p w14:paraId="527BC50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37" w:name="_Toc28964"/>
      <w:r>
        <w:rPr>
          <w:rFonts w:hint="eastAsia" w:ascii="宋体" w:hAnsi="宋体" w:eastAsia="宋体" w:cs="宋体"/>
          <w:b/>
          <w:bCs/>
          <w:sz w:val="24"/>
          <w:szCs w:val="24"/>
          <w:lang w:val="zh-CN"/>
        </w:rPr>
        <w:t>6.3.5 节能降碳指标说明</w:t>
      </w:r>
      <w:bookmarkEnd w:id="37"/>
    </w:p>
    <w:p w14:paraId="5A6044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节能降碳指标是落实国家“双碳”战略的核心指标，在绿色设计阶段满分18分，绿色施工阶段满分20分，绿色公路阶段满分18分。本标准在JT/T 1199.1-2018的基础上，显著强化了碳相关指标，体现了对“双碳”目标的积极响应。</w:t>
      </w:r>
    </w:p>
    <w:p w14:paraId="0E2A27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（1）节能技术与管理</w:t>
      </w:r>
    </w:p>
    <w:p w14:paraId="4883AD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节能技术：包括设计方案能耗比选、绿色建材使用比例、温拌沥青等节能技术应用、隧道供配电永临结合、机电系统能效、隧道照明能效、供配电系统供电效率、通风智能控制系统、绿色建筑设计等。其中，“主要筑路建材产品符合《政府采购支持公路绿色低碳发展基本要求》的程度”指标将国家绿色采购政策直接转化为评价要求。</w:t>
      </w:r>
    </w:p>
    <w:p w14:paraId="67DAD3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节能管理：包括节能评估、设计文件注明节能措施、施工机械节能准入制度、能耗监测系统、施工工序优化等。</w:t>
      </w:r>
    </w:p>
    <w:p w14:paraId="7B91C4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（2）可再生能源利用</w:t>
      </w:r>
    </w:p>
    <w:p w14:paraId="678721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可再生能源利用：包括零碳服务区设计、新能源和清洁能源自洽率、能源管理系统建设、绿色低碳试点示范等。《交通运输绿色低碳发展的中国实践》介绍了山东枣菏高速全路域交能融合示范工程（总装机容量约124兆瓦，年发电量2437万千瓦时）、京台高速济南近零碳服务区（碳减排率约66%）等典型案例。本标准将“新能源和清洁能源自洽率≥30%”设为得1.5分的高标准，将“每设计1个零碳服务区得1.5分”作为激励措施，体现了对交能融合和零碳发展的引导。</w:t>
      </w:r>
    </w:p>
    <w:p w14:paraId="1FD740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（3）碳核算与碳减排</w:t>
      </w:r>
    </w:p>
    <w:p w14:paraId="127383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碳核算与碳减排：包括开展碳排放测算、制定碳减排目标与技术路径、建立碳台账、落实碳减排方案、实施额外减排措施等。这些指标的设置填补了现行绿色公路评价标准在碳管理方面的空白。碳减排量的计算采用二氧化碳当量（CO₂e）计，与《交通运输绿色低碳发展的中国实践》中采用的核算方法保持一致。</w:t>
      </w:r>
    </w:p>
    <w:p w14:paraId="6F9073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p>
    <w:p w14:paraId="4DA79AA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38" w:name="_Toc12710"/>
      <w:r>
        <w:rPr>
          <w:rFonts w:hint="eastAsia" w:ascii="宋体" w:hAnsi="宋体" w:eastAsia="宋体" w:cs="宋体"/>
          <w:b/>
          <w:bCs/>
          <w:sz w:val="24"/>
          <w:szCs w:val="24"/>
          <w:lang w:val="zh-CN"/>
        </w:rPr>
        <w:t>6.3.6 品质建设指标说明</w:t>
      </w:r>
      <w:bookmarkEnd w:id="38"/>
    </w:p>
    <w:p w14:paraId="062C17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品质建设指标在绿色设计阶段满分14分，绿色施工阶段满分16分，绿色公路阶段满分14分，体现了“绿色公路首先必须是品质工程”的理念。</w:t>
      </w:r>
    </w:p>
    <w:p w14:paraId="3340F2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（1）耐久性与高品质设计/施工/建设</w:t>
      </w:r>
    </w:p>
    <w:p w14:paraId="548FDF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耐久性设计：包括长寿命沥青路面（设计使用年限大于50年）、高性能混凝土和高强度钢筋应用、钢结构桥梁应用等。这些指标的设置基于全寿命周期成本理论，耐久性越好，全寿命周期资源消耗和碳排放越低。</w:t>
      </w:r>
    </w:p>
    <w:p w14:paraId="103E4C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高品质设计/施工：包括高品质材料应用种类、功能性沥青路面（排水、胶粉等）、预制化率、“平安工地”“平安百年品质工程”等荣誉获得情况。</w:t>
      </w:r>
    </w:p>
    <w:p w14:paraId="0221A8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（2）标准化设计/施工/建设</w:t>
      </w:r>
    </w:p>
    <w:p w14:paraId="1ADD79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标准化：包括结构设计标准化率、预制构件标准化生产率、部品部件集中预制比例、防护排水结构装配化设计、设计标准化创新成果等。这些指标体现了《中国绿色公路发展报告》中总结的“标准化设计、工厂化生产、装配化施工”的绿色建造模式。</w:t>
      </w:r>
    </w:p>
    <w:p w14:paraId="484357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（3）智慧化设计/施工/建设</w:t>
      </w:r>
    </w:p>
    <w:p w14:paraId="0BB488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智慧化：包括隧道“零开挖”进洞、隧道附属工程装配化预制、BIM技术应用、空天地一体化勘察设计技术、智能施工设备应用、项目管理数智平台、智慧工地示范称号、运营期BIM应用、智慧运营管理平台等。《交通运输绿色低碳发展的中国实践》指出，智慧交通是绿色交通的关键支撑，BIM技术、无人机、自动化码头等智能化技术正在深刻改变交通基础设施的建造和运营模式。</w:t>
      </w:r>
    </w:p>
    <w:p w14:paraId="4DE1A24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lang w:val="zh-CN"/>
        </w:rPr>
      </w:pPr>
      <w:bookmarkStart w:id="39" w:name="_Toc9005"/>
      <w:r>
        <w:rPr>
          <w:rFonts w:hint="eastAsia" w:ascii="宋体" w:hAnsi="宋体" w:eastAsia="宋体" w:cs="宋体"/>
          <w:b/>
          <w:bCs/>
          <w:sz w:val="24"/>
          <w:szCs w:val="24"/>
          <w:lang w:val="zh-CN"/>
        </w:rPr>
        <w:t>6.3.7 服务提升指标说明</w:t>
      </w:r>
      <w:bookmarkEnd w:id="39"/>
    </w:p>
    <w:p w14:paraId="132A75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服务提升指标在绿色设计阶段和绿色公路阶段均为满分14分，体现了绿色公路“以人为本、服务共享”的终极目标。</w:t>
      </w:r>
    </w:p>
    <w:p w14:paraId="31E313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（1）交旅融合</w:t>
      </w:r>
    </w:p>
    <w:p w14:paraId="21EEF0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交旅融合：包括交旅融合专项设计、旅游公路实施要点符合度、交旅融合建设成效（入选省部级旅游公路项目、典型案例等）。《中国绿色公路发展报告》指出，浙江千黄高速以“路融于绿、人行于景”为理念打造最美旅游公路，广东大槐服务区成为“高标杆式”商业综合体，这些都是交旅融合的成功实践。</w:t>
      </w:r>
    </w:p>
    <w:p w14:paraId="110591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（2）绿色能源供给设施</w:t>
      </w:r>
    </w:p>
    <w:p w14:paraId="4351B7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绿色能源供给设施：包括加氢站、换电站、充电桩（充电车位数占小车停车位总数比例）、柔性互联设施、兆瓦级超快充电桩等。根据《交通运输绿色低碳发展的中国实践》，截至2024年底全国高速公路服务区累计建成充电桩3.5万台，覆盖率达98%，浙江、江苏、广东等省份建设了600-800千瓦的超充电站。本标准将充电桩比例≥15%设为得1.5分，将兆瓦级超快充电桩设为加分项，体现了对充电基础设施适度超前的引导。</w:t>
      </w:r>
    </w:p>
    <w:p w14:paraId="6B2D8F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（3）景观融合设计</w:t>
      </w:r>
    </w:p>
    <w:p w14:paraId="28E176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 景观融合：包括专项景观设计、廊道景观展示地方特色人文、路域绿化盖度等。路域绿化盖度指标采用分级计分（＞95%得2.0分），湿润地区高速公路可绿化里程绿化率应达到95%以上，这一要求与《绿色交通“十四五”发展规划》的目标保持一致。</w:t>
      </w:r>
    </w:p>
    <w:p w14:paraId="1638496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sz w:val="24"/>
          <w:szCs w:val="24"/>
          <w:lang w:val="zh-CN"/>
        </w:rPr>
      </w:pPr>
      <w:bookmarkStart w:id="40" w:name="_Toc15967"/>
      <w:r>
        <w:rPr>
          <w:rFonts w:hint="eastAsia" w:ascii="宋体" w:hAnsi="宋体" w:eastAsia="宋体" w:cs="宋体"/>
          <w:b/>
          <w:bCs/>
          <w:sz w:val="24"/>
          <w:szCs w:val="24"/>
          <w:lang w:val="zh-CN"/>
        </w:rPr>
        <w:t>6.6 标准创新点说明</w:t>
      </w:r>
      <w:bookmarkEnd w:id="40"/>
    </w:p>
    <w:p w14:paraId="6CC431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本标准相较于现有绿色公路相关标准，具有以下创新点：</w:t>
      </w:r>
    </w:p>
    <w:p w14:paraId="6CC4AE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一是首创“三阶段、六维度”分阶段评价体系。 现有标准多为项目建成后的综合评估，本标准将评价前置到设计阶段和施工阶段，实现了全寿命周期的分阶段认定。这一创新有利于在设计阶段发挥龙头作用，在施工阶段强化过程管控，在运营阶段进行综合认定，各阶段评价结果可独立使用，极大增强了标准的实用性。</w:t>
      </w:r>
    </w:p>
    <w:p w14:paraId="32622F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二是全面纳入“双碳”目标要求。 本标准在JT/T 1199.1-2018的基础上，新增了碳排放核算、碳减排目标、碳台账、额外碳减排措施等指标，并在可再生能源利用、零碳服务区、新能源自洽率等方面设置了量化评价要求，使标准能够有效服务国家碳达峰碳中和战略。</w:t>
      </w:r>
    </w:p>
    <w:p w14:paraId="614247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三是创新设计“不参评指标处理机制”。 通过附录A明确可不参评指标的限制性条件，并采用适用总分调整的评分方法，既保证了标准的统一性，又兼顾了地域差异和项目特殊性，提高了标准的可操作性。</w:t>
      </w:r>
    </w:p>
    <w:p w14:paraId="4BC51A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四是强化量化评价导向。 本标准中绝大多数指标采用量化计分方法，减少定性判断的主观性。对于难以直接量化的指标，采用分级计分（如“落实情况较好得1分，基本落实得0.5分”）或比例计分（如“利用率＞80%得2.0分，50%-80%得1.0分”）的方式，提高了评价的客观性和可重复性。</w:t>
      </w:r>
    </w:p>
    <w:p w14:paraId="2C89C4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五是注重与国家政策的衔接。本标准明确要求与《政府采购支持公路绿色低碳发展基本要求》衔接，将国家绿色采购政策转化为评价指标，体现了标准作为政策工具的功能定位。</w:t>
      </w:r>
    </w:p>
    <w:p w14:paraId="65F820A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sz w:val="24"/>
          <w:szCs w:val="24"/>
          <w:lang w:val="zh-CN"/>
        </w:rPr>
      </w:pPr>
      <w:bookmarkStart w:id="41" w:name="_Toc17060"/>
      <w:r>
        <w:rPr>
          <w:rFonts w:hint="eastAsia" w:ascii="宋体" w:hAnsi="宋体" w:eastAsia="宋体" w:cs="宋体"/>
          <w:b/>
          <w:bCs/>
          <w:sz w:val="24"/>
          <w:szCs w:val="24"/>
          <w:lang w:val="zh-CN"/>
        </w:rPr>
        <w:t>6.7 标准实施的可行性分析</w:t>
      </w:r>
      <w:bookmarkEnd w:id="41"/>
    </w:p>
    <w:p w14:paraId="2244C0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本标准在编制过程中充分考虑了实施的可行性：</w:t>
      </w:r>
    </w:p>
    <w:p w14:paraId="6A9E53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一是评价指标可获取性强。 设计阶段评价依据施工图设计文件及相关专题报告，施工阶段评价依据施工记录、监测数据、验收资料，运营阶段评价依据竣工资料、运营监测数据，所需资料均为项目建设运营过程中产生的常规资料，无需额外增加大量专项检测。</w:t>
      </w:r>
    </w:p>
    <w:p w14:paraId="6C893A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二是评价方法简便易行。采用百分制计分和星级划分，评价人员经过培训后即可掌握。附录A明确了不参评指标的申请条件和程序，减少了争议。</w:t>
      </w:r>
    </w:p>
    <w:p w14:paraId="282599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三是已有良好实践基础。各典型示范工程在绿色公路建设方面积累的经验和数据为本标准指标阈值的确定提供了依据。山西、江西、云南、天津等地的地方标准实践也为本标准的推广应用奠定了人才和技术基础。</w:t>
      </w:r>
    </w:p>
    <w:p w14:paraId="3E5D97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四是与国家政策形成合力。本标准与《政府采购支持公路绿色低碳发展基本要求》形成衔接，评价结果可用于政府采购、绿色金融、试点示范认定等场景，具有较强的市场驱动力。</w:t>
      </w:r>
    </w:p>
    <w:p w14:paraId="05135F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lang w:val="zh-CN"/>
        </w:rPr>
      </w:pPr>
      <w:r>
        <w:rPr>
          <w:rFonts w:hint="eastAsia"/>
          <w:sz w:val="24"/>
          <w:szCs w:val="24"/>
          <w:lang w:val="zh-CN"/>
        </w:rPr>
        <w:t>综上所述，《绿色公路等级评价标准》的主要技术内容是在系统总结我国绿色公路建设实践经验、深入研究国内外相关标准规范、充分吸收“双碳”战略新要求的基础上形成的。标准结构合理、指标科学、方法可行、创新突出，能够为我国绿色公路的规划设计、施工建设和运营管理提供统一、权威的评价依据，对推动公路行业绿色低碳高质量发展具有重要意义。</w:t>
      </w:r>
    </w:p>
    <w:p w14:paraId="706BFD10">
      <w:pPr>
        <w:pStyle w:val="9"/>
        <w:keepNext w:val="0"/>
        <w:keepLines w:val="0"/>
        <w:pageBreakBefore w:val="0"/>
        <w:widowControl w:val="0"/>
        <w:numPr>
          <w:ilvl w:val="0"/>
          <w:numId w:val="3"/>
        </w:numPr>
        <w:kinsoku/>
        <w:wordWrap/>
        <w:overflowPunct/>
        <w:topLinePunct w:val="0"/>
        <w:autoSpaceDE/>
        <w:autoSpaceDN/>
        <w:bidi w:val="0"/>
        <w:adjustRightInd/>
        <w:snapToGrid/>
        <w:ind w:left="420" w:hanging="420"/>
        <w:textAlignment w:val="auto"/>
        <w:outlineLvl w:val="0"/>
        <w:rPr>
          <w:b/>
          <w:bCs w:val="0"/>
          <w:sz w:val="28"/>
          <w:szCs w:val="28"/>
          <w:lang w:val="zh-CN"/>
        </w:rPr>
      </w:pPr>
      <w:bookmarkStart w:id="42" w:name="_Toc1210"/>
      <w:r>
        <w:rPr>
          <w:b/>
          <w:bCs w:val="0"/>
          <w:sz w:val="28"/>
          <w:szCs w:val="28"/>
        </w:rPr>
        <w:fldChar w:fldCharType="begin"/>
      </w:r>
      <w:r>
        <w:rPr>
          <w:b/>
          <w:bCs w:val="0"/>
          <w:sz w:val="28"/>
          <w:szCs w:val="28"/>
        </w:rPr>
        <w:instrText xml:space="preserve"> HYPERLINK \l "_Toc234978614" </w:instrText>
      </w:r>
      <w:r>
        <w:rPr>
          <w:b/>
          <w:bCs w:val="0"/>
          <w:sz w:val="28"/>
          <w:szCs w:val="28"/>
        </w:rPr>
        <w:fldChar w:fldCharType="separate"/>
      </w:r>
      <w:r>
        <w:rPr>
          <w:rFonts w:hint="eastAsia"/>
          <w:b/>
          <w:bCs w:val="0"/>
          <w:sz w:val="28"/>
          <w:szCs w:val="28"/>
          <w:lang w:val="zh-CN"/>
        </w:rPr>
        <w:t>标准实施的环境效益与经济技术分析</w:t>
      </w:r>
      <w:r>
        <w:rPr>
          <w:rFonts w:hint="eastAsia"/>
          <w:b/>
          <w:bCs w:val="0"/>
          <w:sz w:val="28"/>
          <w:szCs w:val="28"/>
          <w:lang w:val="zh-CN"/>
        </w:rPr>
        <w:fldChar w:fldCharType="end"/>
      </w:r>
      <w:bookmarkEnd w:id="42"/>
    </w:p>
    <w:p w14:paraId="016B9AD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sz w:val="24"/>
          <w:szCs w:val="24"/>
          <w:lang w:val="zh-CN"/>
        </w:rPr>
      </w:pPr>
      <w:bookmarkStart w:id="43" w:name="_Toc8316"/>
      <w:r>
        <w:rPr>
          <w:rFonts w:hint="eastAsia" w:ascii="宋体" w:hAnsi="宋体" w:eastAsia="宋体" w:cs="宋体"/>
          <w:b/>
          <w:bCs/>
          <w:sz w:val="24"/>
          <w:szCs w:val="24"/>
          <w:lang w:val="zh-CN"/>
        </w:rPr>
        <w:t>7.1 环境效益</w:t>
      </w:r>
      <w:bookmarkEnd w:id="43"/>
    </w:p>
    <w:p w14:paraId="09207E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本标准实施后，将显著推动公路建设运营全过程的减污降碳。通过设置碳排放核算、碳减排目标、可再生能源利用等指标，引导项目采用温拌沥青、隧道LED智能照明、零碳服务区等技术。据测算，全国高速公路隧道照明若全部采用LED节能技术，年节电潜力可达数亿度，折合CO₂减排数十万吨；温拌沥青技术推广可使每公里路面施工减少CO₂排放约30吨。同时，标准要求施工期环境质量监测达标率100%、敏感水体路桥面径流全收集全处理，可有效控制水、气、声污染物排放，保护沿线生态环境。</w:t>
      </w:r>
    </w:p>
    <w:p w14:paraId="6DB644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在生态保护与资源循环方面，标准设置了生态敏感区避让、野生动物通道、表土资源利用、临时用地恢复、废旧路面材料再生利用等指标。参照示范工程经验，土石方综合利用率可达80%以上，隧道洞渣高值化利用率可达80%以上，RAP利用率可达90%以上。按年均新建5000公里高速公路计算，年可节约土地数万亩，循环利用废旧路面材料数百万吨，减少弃方数千万立方米，有力支撑“无废城市”建设和自然资源保护。</w:t>
      </w:r>
    </w:p>
    <w:p w14:paraId="6A87EBF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sz w:val="24"/>
          <w:szCs w:val="24"/>
          <w:lang w:val="zh-CN"/>
        </w:rPr>
      </w:pPr>
      <w:bookmarkStart w:id="44" w:name="_Toc31512"/>
      <w:r>
        <w:rPr>
          <w:rFonts w:hint="eastAsia" w:ascii="宋体" w:hAnsi="宋体" w:eastAsia="宋体" w:cs="宋体"/>
          <w:b/>
          <w:bCs/>
          <w:sz w:val="24"/>
          <w:szCs w:val="24"/>
          <w:lang w:val="zh-CN"/>
        </w:rPr>
        <w:t>7.2 经济效益</w:t>
      </w:r>
      <w:bookmarkEnd w:id="44"/>
    </w:p>
    <w:p w14:paraId="71128E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本标准倡导全寿命周期成本最优理念，可有效降低公路建设和运营成本。永临结合技术可将施工便道转化为永久乡村道路，节约临时用地征用和复垦费用，单项目可节约投资数千万元；隧道洞渣综合利用每万立方米可节约石料采购和运输成本约50-80万元；长寿命沥青路面（设计使用年限大于50年）可减少大中修频次，全寿命周期成本较传统路面降低20%-30%。运营期隧道LED照明较高压钠灯节电50%以上，千黄高速年节电512万度，节约电费约307万元。综合测算，标准实施后每百公里高速公路全寿命周期可节约投资约1-2亿元。</w:t>
      </w:r>
    </w:p>
    <w:p w14:paraId="76B960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本标准实施还将带动绿色金融与相关产业发展。获得高星级绿色公路评价的项目可申请绿色信贷、绿色债券等金融支持，享受更低融资成本。标准与《政府采购支持公路绿色低碳发展基本要求》衔接，评价结果可作为招标加分项。同时，将拉动温拌沥青、再生材料、光伏发电、智能照明、污水处理等绿色技术装备的市场需求，预计每年可带动相关产业投资数百亿元，培育新的经济增长点，促进就业。</w:t>
      </w:r>
    </w:p>
    <w:p w14:paraId="56512F7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sz w:val="24"/>
          <w:szCs w:val="24"/>
          <w:lang w:val="zh-CN"/>
        </w:rPr>
      </w:pPr>
      <w:bookmarkStart w:id="45" w:name="_Toc9676"/>
      <w:r>
        <w:rPr>
          <w:rFonts w:hint="eastAsia" w:ascii="宋体" w:hAnsi="宋体" w:eastAsia="宋体" w:cs="宋体"/>
          <w:b/>
          <w:bCs/>
          <w:sz w:val="24"/>
          <w:szCs w:val="24"/>
          <w:lang w:val="zh-CN"/>
        </w:rPr>
        <w:t>7.3 技术效益</w:t>
      </w:r>
      <w:bookmarkEnd w:id="45"/>
    </w:p>
    <w:p w14:paraId="5A9CCA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本标准系统总结了我国绿色公路建设十余年来的成熟技术成果，将推动绿色建造技术的标准化和规模化应用。标准中纳入的永临结合、土石方平衡、隧道洞渣高值化利用、废旧路面材料再生、生态选线、近自然生态修复、温拌沥青、隧道智能通风照明、BIM技术、装配化施工等技术，通过标准固化后，将从“点状示范”转向“全面推广”，显著提升全行业绿色建造技术水平。同时，五星级（P≥90）评价标准设置了较高门槛，将激励项目开展技术攻关和创新，推动“四新”技术的研发与应用。</w:t>
      </w:r>
    </w:p>
    <w:p w14:paraId="3DD721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本标准实施还将促进绿色公路专业人才队伍建设和科技成果转化。标准要求开展绿色理念与技术培训，将推动设计、施工、监理、运营等各方人员系统掌握绿色公路知识技能。参照示范工程经验，惠清高速形成150余项微创新成果，云茂高速形成124项技术清单，广吉高速形成“一纲五册”管理体系。标准实施后，这些成果可在更广范围内复制推广，加速产学研用结合，形成“标准引领—技术创新—工程验证—标准提升”的良性循环，为交通强国建设提供技术支撑。</w:t>
      </w:r>
    </w:p>
    <w:p w14:paraId="14F6CFB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sz w:val="24"/>
          <w:szCs w:val="24"/>
          <w:lang w:val="zh-CN"/>
        </w:rPr>
      </w:pPr>
      <w:bookmarkStart w:id="46" w:name="_Toc27021"/>
      <w:r>
        <w:rPr>
          <w:rFonts w:hint="eastAsia" w:ascii="宋体" w:hAnsi="宋体" w:eastAsia="宋体" w:cs="宋体"/>
          <w:b/>
          <w:bCs/>
          <w:sz w:val="24"/>
          <w:szCs w:val="24"/>
          <w:lang w:val="zh-CN"/>
        </w:rPr>
        <w:t>7.4 社会效益</w:t>
      </w:r>
      <w:bookmarkEnd w:id="46"/>
    </w:p>
    <w:p w14:paraId="331CF1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本标准实施将显著提升公众出行服务品质。通过交旅融合专项设计，公路可串联沿线景区景点，打造“路景融合”的旅游风景道，千黄高速“车在路上走、人在画中游”的实践即为典范。标准要求服务区充电桩比例不低于10%-15%，并鼓励建设加氢站、换电站、兆瓦级超快充电桩，将有效缓解新能源车辆“里程焦虑”，促进绿色出行。景观融合设计、路域绿化盖度≥95%等要求，将使公路成为生态绿廊和景观载体，提升公众出行舒适度和满意度。此外，绿色公路服务区可成为科普教育和生态文明的宣传窗口，增强社会绿色低碳意识。</w:t>
      </w:r>
    </w:p>
    <w:p w14:paraId="6F5AA9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本标准还将有力助推乡村振兴和共同富裕。永临结合指标引导施工便道、临时设施转化为永久性乡村道路和公共服务设施，云茂高速即为沿线增加永久道路174处、约80公里，便民工程投入达4.02亿元。交旅融合指标鼓励公路与乡村旅游、特色产业融合发展，浙江省“美丽公路+特色经济+乡村旅游”模式已实现“修一条路、造一片景、活一方经济、富一方百姓”。通过改善偏远地区交通条件、促进资源要素流动，绿色公路建设将为缩小城乡差距、推动区域协调发展作出积极贡献，使发展成果更多更公平惠</w:t>
      </w:r>
      <w:r>
        <w:rPr>
          <w:rFonts w:hint="eastAsia" w:ascii="宋体" w:hAnsi="宋体" w:eastAsia="宋体" w:cs="宋体"/>
          <w:sz w:val="24"/>
          <w:szCs w:val="24"/>
          <w:lang w:val="zh-CN"/>
        </w:rPr>
        <w:t>及全体人民。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F1DBB4"/>
    <w:multiLevelType w:val="singleLevel"/>
    <w:tmpl w:val="36F1DBB4"/>
    <w:lvl w:ilvl="0" w:tentative="0">
      <w:start w:val="1"/>
      <w:numFmt w:val="chineseCounting"/>
      <w:pStyle w:val="3"/>
      <w:suff w:val="nothing"/>
      <w:lvlText w:val="%1、"/>
      <w:lvlJc w:val="left"/>
      <w:pPr>
        <w:ind w:left="0" w:firstLine="420"/>
      </w:pPr>
      <w:rPr>
        <w:rFonts w:hint="eastAsia"/>
      </w:rPr>
    </w:lvl>
  </w:abstractNum>
  <w:abstractNum w:abstractNumId="1">
    <w:nsid w:val="41461484"/>
    <w:multiLevelType w:val="singleLevel"/>
    <w:tmpl w:val="41461484"/>
    <w:lvl w:ilvl="0" w:tentative="0">
      <w:start w:val="1"/>
      <w:numFmt w:val="chineseCounting"/>
      <w:pStyle w:val="4"/>
      <w:suff w:val="nothing"/>
      <w:lvlText w:val="（%1）"/>
      <w:lvlJc w:val="left"/>
      <w:pPr>
        <w:ind w:left="630" w:firstLine="420"/>
      </w:pPr>
      <w:rPr>
        <w:rFonts w:hint="eastAsia"/>
      </w:rPr>
    </w:lvl>
  </w:abstractNum>
  <w:abstractNum w:abstractNumId="2">
    <w:nsid w:val="46BC64EE"/>
    <w:multiLevelType w:val="multilevel"/>
    <w:tmpl w:val="46BC64EE"/>
    <w:lvl w:ilvl="0" w:tentative="0">
      <w:start w:val="1"/>
      <w:numFmt w:val="decimal"/>
      <w:lvlText w:val="%1"/>
      <w:lvlJc w:val="left"/>
      <w:pPr>
        <w:tabs>
          <w:tab w:val="left" w:pos="420"/>
        </w:tabs>
        <w:ind w:left="420" w:hanging="420"/>
      </w:pPr>
      <w:rPr>
        <w:rFonts w:hint="default"/>
      </w:rPr>
    </w:lvl>
    <w:lvl w:ilvl="1" w:tentative="0">
      <w:start w:val="1"/>
      <w:numFmt w:val="decimal"/>
      <w:lvlText w:val="%1.%2"/>
      <w:lvlJc w:val="left"/>
      <w:pPr>
        <w:tabs>
          <w:tab w:val="left" w:pos="842"/>
        </w:tabs>
        <w:ind w:left="842" w:hanging="420"/>
      </w:pPr>
      <w:rPr>
        <w:rFonts w:hint="default"/>
      </w:rPr>
    </w:lvl>
    <w:lvl w:ilvl="2" w:tentative="0">
      <w:start w:val="1"/>
      <w:numFmt w:val="decimal"/>
      <w:lvlText w:val="%1.%2.%3"/>
      <w:lvlJc w:val="left"/>
      <w:pPr>
        <w:tabs>
          <w:tab w:val="left" w:pos="1264"/>
        </w:tabs>
        <w:ind w:left="1264" w:hanging="420"/>
      </w:pPr>
      <w:rPr>
        <w:rFonts w:hint="default"/>
      </w:rPr>
    </w:lvl>
    <w:lvl w:ilvl="3" w:tentative="0">
      <w:start w:val="1"/>
      <w:numFmt w:val="decimal"/>
      <w:lvlText w:val="%1.%2.%3.%4"/>
      <w:lvlJc w:val="left"/>
      <w:pPr>
        <w:tabs>
          <w:tab w:val="left" w:pos="1686"/>
        </w:tabs>
        <w:ind w:left="1686" w:hanging="420"/>
      </w:pPr>
      <w:rPr>
        <w:rFonts w:hint="default"/>
      </w:rPr>
    </w:lvl>
    <w:lvl w:ilvl="4" w:tentative="0">
      <w:start w:val="1"/>
      <w:numFmt w:val="decimal"/>
      <w:lvlText w:val="%1.%2.%3.%4.%5"/>
      <w:lvlJc w:val="left"/>
      <w:pPr>
        <w:tabs>
          <w:tab w:val="left" w:pos="2108"/>
        </w:tabs>
        <w:ind w:left="2108" w:hanging="420"/>
      </w:pPr>
      <w:rPr>
        <w:rFonts w:hint="default"/>
      </w:rPr>
    </w:lvl>
    <w:lvl w:ilvl="5" w:tentative="0">
      <w:start w:val="1"/>
      <w:numFmt w:val="decimal"/>
      <w:lvlText w:val="%1.%2.%3.%4.%5.%6"/>
      <w:lvlJc w:val="left"/>
      <w:pPr>
        <w:tabs>
          <w:tab w:val="left" w:pos="2530"/>
        </w:tabs>
        <w:ind w:left="2530" w:hanging="420"/>
      </w:pPr>
      <w:rPr>
        <w:rFonts w:hint="default"/>
      </w:rPr>
    </w:lvl>
    <w:lvl w:ilvl="6" w:tentative="0">
      <w:start w:val="1"/>
      <w:numFmt w:val="decimal"/>
      <w:lvlText w:val="%1.%2.%3.%4.%5.%6.%7"/>
      <w:lvlJc w:val="left"/>
      <w:pPr>
        <w:tabs>
          <w:tab w:val="left" w:pos="2952"/>
        </w:tabs>
        <w:ind w:left="2952" w:hanging="420"/>
      </w:pPr>
      <w:rPr>
        <w:rFonts w:hint="default"/>
      </w:rPr>
    </w:lvl>
    <w:lvl w:ilvl="7" w:tentative="0">
      <w:start w:val="1"/>
      <w:numFmt w:val="decimal"/>
      <w:lvlText w:val="%1.%2.%3.%4.%5.%6.%7.%8"/>
      <w:lvlJc w:val="left"/>
      <w:pPr>
        <w:tabs>
          <w:tab w:val="left" w:pos="3374"/>
        </w:tabs>
        <w:ind w:left="3374" w:hanging="420"/>
      </w:pPr>
      <w:rPr>
        <w:rFonts w:hint="default"/>
      </w:rPr>
    </w:lvl>
    <w:lvl w:ilvl="8" w:tentative="0">
      <w:start w:val="1"/>
      <w:numFmt w:val="decimal"/>
      <w:lvlText w:val="%1.%2.%3.%4.%5.%6.%7.%8.%9"/>
      <w:lvlJc w:val="left"/>
      <w:pPr>
        <w:tabs>
          <w:tab w:val="left" w:pos="3796"/>
        </w:tabs>
        <w:ind w:left="3796" w:hanging="42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3EB"/>
    <w:rsid w:val="000D119C"/>
    <w:rsid w:val="001F7530"/>
    <w:rsid w:val="003272A4"/>
    <w:rsid w:val="006C3537"/>
    <w:rsid w:val="008145C0"/>
    <w:rsid w:val="008F5687"/>
    <w:rsid w:val="009313EB"/>
    <w:rsid w:val="00952FDF"/>
    <w:rsid w:val="00A52009"/>
    <w:rsid w:val="00A811B0"/>
    <w:rsid w:val="00B92FED"/>
    <w:rsid w:val="058934F9"/>
    <w:rsid w:val="068766FD"/>
    <w:rsid w:val="0ABA4C8A"/>
    <w:rsid w:val="0FA83B24"/>
    <w:rsid w:val="107E2A9F"/>
    <w:rsid w:val="11F868D7"/>
    <w:rsid w:val="154222ED"/>
    <w:rsid w:val="159F5143"/>
    <w:rsid w:val="1E6F61B4"/>
    <w:rsid w:val="224552A9"/>
    <w:rsid w:val="231600AF"/>
    <w:rsid w:val="2927562A"/>
    <w:rsid w:val="2A1D01DE"/>
    <w:rsid w:val="2C8D6538"/>
    <w:rsid w:val="2E804392"/>
    <w:rsid w:val="2FC647F3"/>
    <w:rsid w:val="32B17AD6"/>
    <w:rsid w:val="330D3AE3"/>
    <w:rsid w:val="3326188F"/>
    <w:rsid w:val="3A59760D"/>
    <w:rsid w:val="3C920BB5"/>
    <w:rsid w:val="3CD40DB4"/>
    <w:rsid w:val="3DB23A1D"/>
    <w:rsid w:val="3EF6006E"/>
    <w:rsid w:val="40D553EA"/>
    <w:rsid w:val="4196302F"/>
    <w:rsid w:val="42AD2421"/>
    <w:rsid w:val="45172936"/>
    <w:rsid w:val="46421977"/>
    <w:rsid w:val="483D4270"/>
    <w:rsid w:val="489310D4"/>
    <w:rsid w:val="49995FA2"/>
    <w:rsid w:val="49AB775A"/>
    <w:rsid w:val="4A9D32F7"/>
    <w:rsid w:val="4B433609"/>
    <w:rsid w:val="4CC052CA"/>
    <w:rsid w:val="4EC3064A"/>
    <w:rsid w:val="4EC310A1"/>
    <w:rsid w:val="4FEE03A0"/>
    <w:rsid w:val="544C7547"/>
    <w:rsid w:val="5AEC6705"/>
    <w:rsid w:val="5B47134C"/>
    <w:rsid w:val="65A344DF"/>
    <w:rsid w:val="66D854E1"/>
    <w:rsid w:val="6CD1296E"/>
    <w:rsid w:val="774B449F"/>
    <w:rsid w:val="79521371"/>
    <w:rsid w:val="7E8645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1"/>
      </w:numPr>
      <w:spacing w:before="260" w:after="260" w:line="416" w:lineRule="auto"/>
      <w:outlineLvl w:val="1"/>
    </w:pPr>
    <w:rPr>
      <w:rFonts w:ascii="Arial" w:hAnsi="Arial" w:eastAsia="黑体"/>
      <w:b/>
      <w:bCs/>
      <w:sz w:val="32"/>
      <w:szCs w:val="32"/>
    </w:rPr>
  </w:style>
  <w:style w:type="paragraph" w:styleId="4">
    <w:name w:val="heading 3"/>
    <w:basedOn w:val="1"/>
    <w:next w:val="1"/>
    <w:qFormat/>
    <w:uiPriority w:val="9"/>
    <w:pPr>
      <w:keepNext/>
      <w:keepLines/>
      <w:numPr>
        <w:ilvl w:val="0"/>
        <w:numId w:val="2"/>
      </w:numPr>
      <w:spacing w:before="260" w:after="260" w:line="416" w:lineRule="auto"/>
      <w:outlineLvl w:val="2"/>
    </w:pPr>
    <w:rPr>
      <w:rFonts w:ascii="Times New Roman" w:hAnsi="Times New Roman" w:eastAsia="宋体"/>
      <w:b/>
      <w:bCs/>
      <w:sz w:val="28"/>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16"/>
    <w:semiHidden/>
    <w:unhideWhenUsed/>
    <w:qFormat/>
    <w:uiPriority w:val="99"/>
    <w:rPr>
      <w:rFonts w:ascii="宋体"/>
      <w:sz w:val="18"/>
      <w:szCs w:val="18"/>
    </w:rPr>
  </w:style>
  <w:style w:type="paragraph" w:styleId="6">
    <w:name w:val="toc 3"/>
    <w:basedOn w:val="1"/>
    <w:next w:val="1"/>
    <w:semiHidden/>
    <w:unhideWhenUsed/>
    <w:uiPriority w:val="39"/>
    <w:pPr>
      <w:ind w:left="840" w:leftChars="400"/>
    </w:pPr>
  </w:style>
  <w:style w:type="paragraph" w:styleId="7">
    <w:name w:val="footer"/>
    <w:basedOn w:val="1"/>
    <w:link w:val="18"/>
    <w:semiHidden/>
    <w:unhideWhenUsed/>
    <w:qFormat/>
    <w:uiPriority w:val="99"/>
    <w:pPr>
      <w:tabs>
        <w:tab w:val="center" w:pos="4153"/>
        <w:tab w:val="right" w:pos="8306"/>
      </w:tabs>
      <w:snapToGrid w:val="0"/>
      <w:jc w:val="left"/>
    </w:pPr>
    <w:rPr>
      <w:sz w:val="18"/>
      <w:szCs w:val="18"/>
    </w:rPr>
  </w:style>
  <w:style w:type="paragraph" w:styleId="8">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semiHidden/>
    <w:qFormat/>
    <w:uiPriority w:val="0"/>
    <w:pPr>
      <w:spacing w:before="120" w:after="120"/>
      <w:jc w:val="left"/>
    </w:pPr>
    <w:rPr>
      <w:b/>
      <w:bCs/>
      <w:caps/>
      <w:sz w:val="20"/>
      <w:szCs w:val="20"/>
    </w:rPr>
  </w:style>
  <w:style w:type="paragraph" w:styleId="10">
    <w:name w:val="toc 2"/>
    <w:basedOn w:val="1"/>
    <w:next w:val="1"/>
    <w:semiHidden/>
    <w:unhideWhenUsed/>
    <w:uiPriority w:val="39"/>
    <w:pPr>
      <w:ind w:left="420" w:leftChars="200"/>
    </w:pPr>
  </w:style>
  <w:style w:type="character" w:styleId="13">
    <w:name w:val="Hyperlink"/>
    <w:qFormat/>
    <w:uiPriority w:val="0"/>
    <w:rPr>
      <w:color w:val="0000FF"/>
      <w:u w:val="single"/>
    </w:rPr>
  </w:style>
  <w:style w:type="character" w:customStyle="1" w:styleId="14">
    <w:name w:val="标题 1 Char"/>
    <w:basedOn w:val="12"/>
    <w:link w:val="2"/>
    <w:qFormat/>
    <w:uiPriority w:val="0"/>
    <w:rPr>
      <w:rFonts w:ascii="Times New Roman" w:hAnsi="Times New Roman" w:eastAsia="宋体" w:cs="Times New Roman"/>
      <w:b/>
      <w:bCs/>
      <w:kern w:val="44"/>
      <w:sz w:val="44"/>
      <w:szCs w:val="44"/>
    </w:rPr>
  </w:style>
  <w:style w:type="paragraph" w:customStyle="1" w:styleId="15">
    <w:name w:val="Char Char Char1 Char Char"/>
    <w:basedOn w:val="5"/>
    <w:autoRedefine/>
    <w:qFormat/>
    <w:uiPriority w:val="0"/>
    <w:pPr>
      <w:shd w:val="clear" w:color="auto" w:fill="000080"/>
      <w:adjustRightInd w:val="0"/>
      <w:spacing w:line="436" w:lineRule="exact"/>
      <w:ind w:left="357"/>
      <w:jc w:val="left"/>
      <w:outlineLvl w:val="3"/>
    </w:pPr>
    <w:rPr>
      <w:rFonts w:ascii="Tahoma" w:hAnsi="Tahoma"/>
      <w:b/>
      <w:sz w:val="24"/>
      <w:szCs w:val="24"/>
    </w:rPr>
  </w:style>
  <w:style w:type="character" w:customStyle="1" w:styleId="16">
    <w:name w:val="文档结构图 Char"/>
    <w:basedOn w:val="12"/>
    <w:link w:val="5"/>
    <w:semiHidden/>
    <w:qFormat/>
    <w:uiPriority w:val="99"/>
    <w:rPr>
      <w:rFonts w:ascii="宋体" w:hAnsi="Times New Roman" w:eastAsia="宋体" w:cs="Times New Roman"/>
      <w:sz w:val="18"/>
      <w:szCs w:val="18"/>
    </w:rPr>
  </w:style>
  <w:style w:type="character" w:customStyle="1" w:styleId="17">
    <w:name w:val="页眉 Char"/>
    <w:basedOn w:val="12"/>
    <w:link w:val="8"/>
    <w:semiHidden/>
    <w:qFormat/>
    <w:uiPriority w:val="99"/>
    <w:rPr>
      <w:rFonts w:ascii="Times New Roman" w:hAnsi="Times New Roman" w:eastAsia="宋体" w:cs="Times New Roman"/>
      <w:sz w:val="18"/>
      <w:szCs w:val="18"/>
    </w:rPr>
  </w:style>
  <w:style w:type="character" w:customStyle="1" w:styleId="18">
    <w:name w:val="页脚 Char"/>
    <w:basedOn w:val="12"/>
    <w:link w:val="7"/>
    <w:semiHidden/>
    <w:qFormat/>
    <w:uiPriority w:val="99"/>
    <w:rPr>
      <w:rFonts w:ascii="Times New Roman" w:hAnsi="Times New Roman" w:eastAsia="宋体" w:cs="Times New Roman"/>
      <w:sz w:val="18"/>
      <w:szCs w:val="18"/>
    </w:rPr>
  </w:style>
  <w:style w:type="paragraph" w:customStyle="1" w:styleId="19">
    <w:name w:val="四级"/>
    <w:basedOn w:val="20"/>
    <w:qFormat/>
    <w:uiPriority w:val="0"/>
    <w:pPr>
      <w:widowControl w:val="0"/>
      <w:spacing w:before="50" w:beforeLines="50" w:after="50" w:afterLines="50" w:line="360" w:lineRule="auto"/>
      <w:jc w:val="left"/>
      <w:outlineLvl w:val="3"/>
    </w:pPr>
    <w:rPr>
      <w:rFonts w:ascii="宋体" w:hAnsi="宋体" w:cs="Times New Roman"/>
      <w:b/>
      <w:sz w:val="28"/>
      <w:szCs w:val="24"/>
    </w:rPr>
  </w:style>
  <w:style w:type="paragraph" w:customStyle="1" w:styleId="20">
    <w:name w:val="正文1"/>
    <w:qFormat/>
    <w:uiPriority w:val="0"/>
    <w:pPr>
      <w:jc w:val="both"/>
    </w:pPr>
    <w:rPr>
      <w:rFonts w:ascii="等线" w:hAnsi="等线"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1730</Words>
  <Characters>2278</Characters>
  <Lines>11</Lines>
  <Paragraphs>3</Paragraphs>
  <TotalTime>0</TotalTime>
  <ScaleCrop>false</ScaleCrop>
  <LinksUpToDate>false</LinksUpToDate>
  <CharactersWithSpaces>2310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2014-06-06T07:36:00Z</dcterms:created>
  <dc:creator>DELL</dc:creator>
  <cp:lastModifiedBy>WPS_1732699824</cp:lastModifiedBy>
  <dcterms:modified xsi:type="dcterms:W3CDTF">2026-04-14T09:21:36Z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364A6AD3E1FE488B827D9E87CE621357_13</vt:lpwstr>
  </property>
  <property fmtid="{D5CDD505-2E9C-101B-9397-08002B2CF9AE}" pid="4" name="KSOTemplateDocerSaveRecord">
    <vt:lpwstr>eyJoZGlkIjoiOTc0MmIyMDIzODVkZDQxNWFlOTYyMWU1MjA2NmFkNjIiLCJ1c2VySWQiOiIxNjYxNzIzMTE2In0=</vt:lpwstr>
  </property>
</Properties>
</file>