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3A40F">
      <w:pPr>
        <w:widowControl/>
        <w:autoSpaceDE w:val="0"/>
        <w:autoSpaceDN w:val="0"/>
        <w:rPr>
          <w:rFonts w:ascii="宋体"/>
          <w:color w:val="000000" w:themeColor="text1"/>
          <w:kern w:val="0"/>
          <w:szCs w:val="20"/>
          <w14:textFill>
            <w14:solidFill>
              <w14:schemeClr w14:val="tx1"/>
            </w14:solidFill>
          </w14:textFill>
        </w:rPr>
      </w:pPr>
      <w:bookmarkStart w:id="0" w:name="OLE_LINK3"/>
      <w:bookmarkStart w:id="1" w:name="OLE_LINK4"/>
      <w:bookmarkStart w:id="2" w:name="OLE_LINK5"/>
      <w:r>
        <w:rPr>
          <w:rFonts w:ascii="宋体"/>
          <w:color w:val="000000" w:themeColor="text1"/>
          <w:kern w:val="0"/>
          <w:szCs w:val="20"/>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122555</wp:posOffset>
                </wp:positionV>
                <wp:extent cx="2430780" cy="529590"/>
                <wp:effectExtent l="0" t="0" r="0" b="0"/>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30780" cy="529590"/>
                        </a:xfrm>
                        <a:prstGeom prst="rect">
                          <a:avLst/>
                        </a:prstGeom>
                        <a:solidFill>
                          <a:srgbClr val="FFFFFF"/>
                        </a:solidFill>
                        <a:ln w="9525">
                          <a:solidFill>
                            <a:srgbClr val="FFFFFF"/>
                          </a:solidFill>
                          <a:miter lim="800000"/>
                        </a:ln>
                        <a:effectLst/>
                      </wps:spPr>
                      <wps:txbx>
                        <w:txbxContent>
                          <w:p w14:paraId="0598FECE">
                            <w:pPr>
                              <w:adjustRightInd w:val="0"/>
                              <w:snapToGrid w:val="0"/>
                              <w:spacing w:line="276" w:lineRule="auto"/>
                              <w:ind w:firstLine="0" w:firstLineChars="0"/>
                              <w:jc w:val="left"/>
                              <w:rPr>
                                <w:rFonts w:eastAsia="黑体"/>
                                <w:color w:val="000000"/>
                                <w:kern w:val="0"/>
                                <w:szCs w:val="21"/>
                              </w:rPr>
                            </w:pPr>
                            <w:r>
                              <w:rPr>
                                <w:rFonts w:hint="eastAsia" w:eastAsia="黑体"/>
                                <w:color w:val="000000"/>
                                <w:kern w:val="0"/>
                                <w:szCs w:val="21"/>
                              </w:rPr>
                              <w:t>ICS 13.020.40</w:t>
                            </w:r>
                          </w:p>
                          <w:p w14:paraId="2746D2D9">
                            <w:pPr>
                              <w:adjustRightInd w:val="0"/>
                              <w:snapToGrid w:val="0"/>
                              <w:spacing w:line="276" w:lineRule="auto"/>
                              <w:ind w:firstLine="0" w:firstLineChars="0"/>
                              <w:rPr>
                                <w:rFonts w:eastAsia="黑体"/>
                                <w:color w:val="000000"/>
                                <w:kern w:val="0"/>
                                <w:szCs w:val="21"/>
                              </w:rPr>
                            </w:pPr>
                            <w:r>
                              <w:rPr>
                                <w:rFonts w:hint="eastAsia" w:eastAsia="黑体"/>
                                <w:color w:val="000000"/>
                                <w:kern w:val="0"/>
                                <w:szCs w:val="21"/>
                              </w:rPr>
                              <w:t>CSS Z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4.5pt;margin-top:9.65pt;height:41.7pt;width:191.4pt;z-index:251659264;mso-width-relative:margin;mso-height-relative:margin;mso-width-percent:400;mso-height-percent:200;" fillcolor="#FFFFFF" filled="t" stroked="t" coordsize="21600,21600" o:gfxdata="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9cAj1wAAAAkBAAAPAAAAAAAAAAEAIAAAACIA&#10;AABkcnMvZG93bnJldi54bWxQSwECFAAUAAAACACHTuJABM9EF0MCAACVBAAADgAAAAAAAAABACAA&#10;AAAmAQAAZHJzL2Uyb0RvYy54bWxQSwUGAAAAAAYABgBZAQAA2wUAAAAA&#10;">
                <v:fill on="t" focussize="0,0"/>
                <v:stroke color="#FFFFFF" miterlimit="8" joinstyle="miter"/>
                <v:imagedata o:title=""/>
                <o:lock v:ext="edit" aspectratio="f"/>
                <v:textbox style="mso-fit-shape-to-text:t;">
                  <w:txbxContent>
                    <w:p w14:paraId="0598FECE">
                      <w:pPr>
                        <w:adjustRightInd w:val="0"/>
                        <w:snapToGrid w:val="0"/>
                        <w:spacing w:line="276" w:lineRule="auto"/>
                        <w:ind w:firstLine="0" w:firstLineChars="0"/>
                        <w:jc w:val="left"/>
                        <w:rPr>
                          <w:rFonts w:eastAsia="黑体"/>
                          <w:color w:val="000000"/>
                          <w:kern w:val="0"/>
                          <w:szCs w:val="21"/>
                        </w:rPr>
                      </w:pPr>
                      <w:r>
                        <w:rPr>
                          <w:rFonts w:hint="eastAsia" w:eastAsia="黑体"/>
                          <w:color w:val="000000"/>
                          <w:kern w:val="0"/>
                          <w:szCs w:val="21"/>
                        </w:rPr>
                        <w:t>ICS 13.020.40</w:t>
                      </w:r>
                    </w:p>
                    <w:p w14:paraId="2746D2D9">
                      <w:pPr>
                        <w:adjustRightInd w:val="0"/>
                        <w:snapToGrid w:val="0"/>
                        <w:spacing w:line="276" w:lineRule="auto"/>
                        <w:ind w:firstLine="0" w:firstLineChars="0"/>
                        <w:rPr>
                          <w:rFonts w:eastAsia="黑体"/>
                          <w:color w:val="000000"/>
                          <w:kern w:val="0"/>
                          <w:szCs w:val="21"/>
                        </w:rPr>
                      </w:pPr>
                      <w:r>
                        <w:rPr>
                          <w:rFonts w:hint="eastAsia" w:eastAsia="黑体"/>
                          <w:color w:val="000000"/>
                          <w:kern w:val="0"/>
                          <w:szCs w:val="21"/>
                        </w:rPr>
                        <w:t>CSS Z 10</w:t>
                      </w:r>
                    </w:p>
                  </w:txbxContent>
                </v:textbox>
              </v:shape>
            </w:pict>
          </mc:Fallback>
        </mc:AlternateContent>
      </w:r>
    </w:p>
    <w:p w14:paraId="0B914FBE">
      <w:pPr>
        <w:widowControl/>
        <w:autoSpaceDE w:val="0"/>
        <w:autoSpaceDN w:val="0"/>
        <w:rPr>
          <w:rFonts w:ascii="宋体"/>
          <w:color w:val="000000" w:themeColor="text1"/>
          <w:kern w:val="0"/>
          <w:szCs w:val="20"/>
          <w14:textFill>
            <w14:solidFill>
              <w14:schemeClr w14:val="tx1"/>
            </w14:solidFill>
          </w14:textFill>
        </w:rPr>
      </w:pPr>
    </w:p>
    <w:p w14:paraId="763279C6">
      <w:pPr>
        <w:widowControl/>
        <w:autoSpaceDE w:val="0"/>
        <w:autoSpaceDN w:val="0"/>
        <w:rPr>
          <w:rFonts w:ascii="宋体"/>
          <w:color w:val="000000" w:themeColor="text1"/>
          <w:kern w:val="0"/>
          <w:szCs w:val="20"/>
          <w14:textFill>
            <w14:solidFill>
              <w14:schemeClr w14:val="tx1"/>
            </w14:solidFill>
          </w14:textFill>
        </w:rPr>
      </w:pPr>
    </w:p>
    <w:p w14:paraId="7E9F038A">
      <w:pPr>
        <w:pStyle w:val="77"/>
        <w:framePr w:w="9144" w:wrap="around" w:x="1535" w:y="2048"/>
        <w:rPr>
          <w:rFonts w:ascii="华文中宋" w:hAnsi="华文中宋" w:eastAsia="华文中宋"/>
          <w:sz w:val="84"/>
          <w:szCs w:val="84"/>
        </w:rPr>
      </w:pPr>
      <w:r>
        <w:rPr>
          <w:rFonts w:hint="eastAsia" w:ascii="华文中宋" w:hAnsi="华文中宋" w:eastAsia="华文中宋"/>
          <w:sz w:val="84"/>
          <w:szCs w:val="84"/>
        </w:rPr>
        <w:t>团体标准</w:t>
      </w:r>
    </w:p>
    <w:p w14:paraId="3A701557">
      <w:pPr>
        <w:framePr w:w="9140" w:h="1242" w:hRule="exact" w:hSpace="284" w:wrap="around" w:vAnchor="page" w:hAnchor="page" w:x="1971" w:y="3181" w:anchorLock="1"/>
        <w:widowControl/>
        <w:spacing w:before="357" w:line="280" w:lineRule="exact"/>
        <w:ind w:firstLine="480"/>
        <w:jc w:val="right"/>
        <w:rPr>
          <w:rFonts w:ascii="黑体" w:hAnsi="黑体" w:eastAsia="黑体"/>
          <w:color w:val="000000" w:themeColor="text1"/>
          <w:kern w:val="0"/>
          <w:sz w:val="24"/>
          <w:szCs w:val="24"/>
          <w14:textFill>
            <w14:solidFill>
              <w14:schemeClr w14:val="tx1"/>
            </w14:solidFill>
          </w14:textFill>
        </w:rPr>
      </w:pPr>
      <w:r>
        <w:rPr>
          <w:rFonts w:hint="eastAsia" w:eastAsia="黑体"/>
          <w:color w:val="000000" w:themeColor="text1"/>
          <w:kern w:val="0"/>
          <w:sz w:val="24"/>
          <w:szCs w:val="24"/>
          <w14:textFill>
            <w14:solidFill>
              <w14:schemeClr w14:val="tx1"/>
            </w14:solidFill>
          </w14:textFill>
        </w:rPr>
        <w:t>T/ACEF</w:t>
      </w:r>
      <w:r>
        <w:rPr>
          <w:rFonts w:ascii="黑体" w:hAnsi="黑体" w:eastAsia="黑体"/>
          <w:color w:val="000000" w:themeColor="text1"/>
          <w:kern w:val="0"/>
          <w:sz w:val="24"/>
          <w:szCs w:val="24"/>
          <w14:textFill>
            <w14:solidFill>
              <w14:schemeClr w14:val="tx1"/>
            </w14:solidFill>
          </w14:textFill>
        </w:rPr>
        <w:t xml:space="preserve"> </w:t>
      </w:r>
      <w:r>
        <w:rPr>
          <w:rFonts w:hint="eastAsia" w:ascii="黑体" w:eastAsia="黑体"/>
          <w:color w:val="000000" w:themeColor="text1"/>
          <w:kern w:val="0"/>
          <w:sz w:val="24"/>
          <w:szCs w:val="24"/>
          <w14:textFill>
            <w14:solidFill>
              <w14:schemeClr w14:val="tx1"/>
            </w14:solidFill>
          </w14:textFill>
        </w:rPr>
        <w:t>□□□</w:t>
      </w:r>
      <w:r>
        <w:rPr>
          <w:rFonts w:hint="eastAsia" w:ascii="黑体" w:hAnsi="黑体" w:eastAsia="黑体"/>
          <w:color w:val="000000" w:themeColor="text1"/>
          <w:kern w:val="0"/>
          <w:sz w:val="24"/>
          <w:szCs w:val="24"/>
          <w14:textFill>
            <w14:solidFill>
              <w14:schemeClr w14:val="tx1"/>
            </w14:solidFill>
          </w14:textFill>
        </w:rPr>
        <w:t>－</w:t>
      </w:r>
      <w:r>
        <w:rPr>
          <w:rFonts w:ascii="黑体" w:hAnsi="黑体" w:eastAsia="黑体"/>
          <w:color w:val="000000" w:themeColor="text1"/>
          <w:kern w:val="0"/>
          <w:sz w:val="24"/>
          <w:szCs w:val="24"/>
          <w14:textFill>
            <w14:solidFill>
              <w14:schemeClr w14:val="tx1"/>
            </w14:solidFill>
          </w14:textFill>
        </w:rPr>
        <w:t>20</w:t>
      </w:r>
      <w:r>
        <w:rPr>
          <w:rFonts w:hint="eastAsia" w:ascii="黑体" w:eastAsia="黑体"/>
          <w:color w:val="000000" w:themeColor="text1"/>
          <w:kern w:val="0"/>
          <w:sz w:val="24"/>
          <w:szCs w:val="24"/>
          <w14:textFill>
            <w14:solidFill>
              <w14:schemeClr w14:val="tx1"/>
            </w14:solidFill>
          </w14:textFill>
        </w:rPr>
        <w:t>□□</w:t>
      </w:r>
    </w:p>
    <w:p w14:paraId="11D749A3">
      <w:pPr>
        <w:framePr w:w="9140" w:h="1242" w:hRule="exact" w:hSpace="284" w:wrap="around" w:vAnchor="page" w:hAnchor="page" w:x="1971" w:y="3181" w:anchorLock="1"/>
        <w:widowControl/>
        <w:spacing w:before="357" w:line="280" w:lineRule="exact"/>
        <w:ind w:right="1120" w:firstLine="560"/>
        <w:rPr>
          <w:rFonts w:ascii="黑体" w:hAnsi="黑体" w:eastAsia="黑体"/>
          <w:color w:val="000000" w:themeColor="text1"/>
          <w:kern w:val="0"/>
          <w:sz w:val="28"/>
          <w:szCs w:val="28"/>
          <w14:textFill>
            <w14:solidFill>
              <w14:schemeClr w14:val="tx1"/>
            </w14:solidFill>
          </w14:textFill>
        </w:rPr>
      </w:pPr>
    </w:p>
    <w:p w14:paraId="60303021">
      <w:pPr>
        <w:framePr w:w="9140" w:h="1242" w:hRule="exact" w:hSpace="284" w:wrap="around" w:vAnchor="page" w:hAnchor="page" w:x="1971" w:y="3181" w:anchorLock="1"/>
        <w:widowControl/>
        <w:spacing w:before="357" w:line="280" w:lineRule="exact"/>
        <w:ind w:firstLine="560"/>
        <w:jc w:val="right"/>
        <w:rPr>
          <w:rFonts w:ascii="黑体" w:hAnsi="黑体" w:eastAsia="黑体"/>
          <w:color w:val="000000" w:themeColor="text1"/>
          <w:kern w:val="0"/>
          <w:sz w:val="28"/>
          <w:szCs w:val="28"/>
          <w14:textFill>
            <w14:solidFill>
              <w14:schemeClr w14:val="tx1"/>
            </w14:solidFill>
          </w14:textFill>
        </w:rPr>
      </w:pPr>
    </w:p>
    <w:p w14:paraId="19D9C8B3">
      <w:pPr>
        <w:framePr w:w="9639" w:h="6917" w:hRule="exact" w:wrap="around" w:vAnchor="page" w:hAnchor="page" w:x="1364" w:y="5948" w:anchorLock="1"/>
        <w:spacing w:line="680" w:lineRule="exact"/>
        <w:ind w:firstLine="0" w:firstLineChars="0"/>
        <w:jc w:val="center"/>
        <w:textAlignment w:val="center"/>
        <w:rPr>
          <w:rFonts w:ascii="黑体" w:eastAsia="黑体"/>
          <w:color w:val="000000" w:themeColor="text1"/>
          <w:kern w:val="0"/>
          <w:sz w:val="52"/>
          <w:szCs w:val="20"/>
          <w14:textFill>
            <w14:solidFill>
              <w14:schemeClr w14:val="tx1"/>
            </w14:solidFill>
          </w14:textFill>
        </w:rPr>
      </w:pPr>
      <w:r>
        <w:rPr>
          <w:rFonts w:hint="eastAsia" w:eastAsia="黑体"/>
          <w:color w:val="000000" w:themeColor="text1"/>
          <w:kern w:val="0"/>
          <w:sz w:val="52"/>
          <w:szCs w:val="52"/>
          <w14:textFill>
            <w14:solidFill>
              <w14:schemeClr w14:val="tx1"/>
            </w14:solidFill>
          </w14:textFill>
        </w:rPr>
        <w:t>工业企业土壤污染防控信息采集技术指南</w:t>
      </w:r>
    </w:p>
    <w:p w14:paraId="6AFD0AC7">
      <w:pPr>
        <w:framePr w:w="9639" w:h="6917" w:hRule="exact" w:wrap="around" w:vAnchor="page" w:hAnchor="page" w:x="1364" w:y="5948" w:anchorLock="1"/>
        <w:spacing w:line="400" w:lineRule="exact"/>
        <w:ind w:firstLine="560"/>
        <w:jc w:val="center"/>
        <w:textAlignment w:val="center"/>
        <w:rPr>
          <w:rFonts w:eastAsia="黑体"/>
          <w:color w:val="000000" w:themeColor="text1"/>
          <w:kern w:val="0"/>
          <w:sz w:val="28"/>
          <w:szCs w:val="28"/>
          <w14:textFill>
            <w14:solidFill>
              <w14:schemeClr w14:val="tx1"/>
            </w14:solidFill>
          </w14:textFill>
        </w:rPr>
      </w:pPr>
      <w:r>
        <w:rPr>
          <w:rFonts w:hint="eastAsia" w:eastAsia="黑体"/>
          <w:color w:val="000000" w:themeColor="text1"/>
          <w:kern w:val="0"/>
          <w:sz w:val="28"/>
          <w:szCs w:val="28"/>
          <w14:textFill>
            <w14:solidFill>
              <w14:schemeClr w14:val="tx1"/>
            </w14:solidFill>
          </w14:textFill>
        </w:rPr>
        <w:t xml:space="preserve">Technical </w:t>
      </w:r>
      <w:r>
        <w:rPr>
          <w:rFonts w:eastAsia="黑体"/>
          <w:color w:val="000000" w:themeColor="text1"/>
          <w:kern w:val="0"/>
          <w:sz w:val="28"/>
          <w:szCs w:val="28"/>
          <w14:textFill>
            <w14:solidFill>
              <w14:schemeClr w14:val="tx1"/>
            </w14:solidFill>
          </w14:textFill>
        </w:rPr>
        <w:t>guidelines</w:t>
      </w:r>
      <w:r>
        <w:rPr>
          <w:rFonts w:hint="eastAsia" w:eastAsia="黑体"/>
          <w:color w:val="000000" w:themeColor="text1"/>
          <w:kern w:val="0"/>
          <w:sz w:val="28"/>
          <w:szCs w:val="28"/>
          <w14:textFill>
            <w14:solidFill>
              <w14:schemeClr w14:val="tx1"/>
            </w14:solidFill>
          </w14:textFill>
        </w:rPr>
        <w:t xml:space="preserve"> for collecting soil pollution prevention and control information in industrial enterprises</w:t>
      </w:r>
    </w:p>
    <w:p w14:paraId="3AC94A50">
      <w:pPr>
        <w:framePr w:w="9639" w:h="6917" w:hRule="exact" w:wrap="around" w:vAnchor="page" w:hAnchor="page" w:x="1364" w:y="5948" w:anchorLock="1"/>
        <w:spacing w:before="440" w:line="400" w:lineRule="exact"/>
        <w:ind w:firstLine="0" w:firstLineChars="0"/>
        <w:jc w:val="center"/>
        <w:textAlignment w:val="center"/>
        <w:rPr>
          <w:rFonts w:ascii="宋体"/>
          <w:color w:val="000000" w:themeColor="text1"/>
          <w:kern w:val="0"/>
          <w:sz w:val="28"/>
          <w:szCs w:val="28"/>
          <w14:textFill>
            <w14:solidFill>
              <w14:schemeClr w14:val="tx1"/>
            </w14:solidFill>
          </w14:textFill>
        </w:rPr>
      </w:pPr>
      <w:r>
        <w:rPr>
          <w:rFonts w:hint="eastAsia" w:ascii="宋体"/>
          <w:color w:val="000000" w:themeColor="text1"/>
          <w:kern w:val="0"/>
          <w:sz w:val="28"/>
          <w:szCs w:val="28"/>
          <w14:textFill>
            <w14:solidFill>
              <w14:schemeClr w14:val="tx1"/>
            </w14:solidFill>
          </w14:textFill>
        </w:rPr>
        <w:t>（</w:t>
      </w:r>
      <w:r>
        <w:rPr>
          <w:rFonts w:hint="eastAsia" w:eastAsia="黑体"/>
          <w:color w:val="000000" w:themeColor="text1"/>
          <w:kern w:val="0"/>
          <w:sz w:val="28"/>
          <w:szCs w:val="28"/>
          <w14:textFill>
            <w14:solidFill>
              <w14:schemeClr w14:val="tx1"/>
            </w14:solidFill>
          </w14:textFill>
        </w:rPr>
        <w:t>征求意见稿</w:t>
      </w:r>
      <w:r>
        <w:rPr>
          <w:rFonts w:hint="eastAsia" w:ascii="宋体"/>
          <w:color w:val="000000" w:themeColor="text1"/>
          <w:kern w:val="0"/>
          <w:sz w:val="28"/>
          <w:szCs w:val="28"/>
          <w14:textFill>
            <w14:solidFill>
              <w14:schemeClr w14:val="tx1"/>
            </w14:solidFill>
          </w14:textFill>
        </w:rPr>
        <w:t>）</w:t>
      </w:r>
    </w:p>
    <w:p w14:paraId="0336B700">
      <w:pPr>
        <w:framePr w:w="9639" w:h="6917" w:hRule="exact" w:wrap="around" w:vAnchor="page" w:hAnchor="page" w:x="1364" w:y="5948" w:anchorLock="1"/>
        <w:autoSpaceDE w:val="0"/>
        <w:autoSpaceDN w:val="0"/>
        <w:adjustRightInd w:val="0"/>
        <w:ind w:firstLine="480"/>
        <w:jc w:val="left"/>
        <w:rPr>
          <w:rFonts w:ascii="宋体" w:cs="宋体"/>
          <w:color w:val="000000" w:themeColor="text1"/>
          <w:kern w:val="0"/>
          <w:sz w:val="24"/>
          <w:szCs w:val="24"/>
          <w14:textFill>
            <w14:solidFill>
              <w14:schemeClr w14:val="tx1"/>
            </w14:solidFill>
          </w14:textFill>
        </w:rPr>
      </w:pPr>
    </w:p>
    <w:p w14:paraId="745963F8">
      <w:pPr>
        <w:framePr w:w="9639" w:h="6917" w:hRule="exact" w:wrap="around" w:vAnchor="page" w:hAnchor="page" w:x="1364" w:y="5948" w:anchorLock="1"/>
        <w:autoSpaceDE w:val="0"/>
        <w:autoSpaceDN w:val="0"/>
        <w:adjustRightInd w:val="0"/>
        <w:ind w:firstLine="560"/>
        <w:jc w:val="left"/>
        <w:rPr>
          <w:rFonts w:ascii="宋体" w:cs="宋体"/>
          <w:color w:val="000000" w:themeColor="text1"/>
          <w:kern w:val="0"/>
          <w:sz w:val="28"/>
          <w:szCs w:val="28"/>
          <w14:textFill>
            <w14:solidFill>
              <w14:schemeClr w14:val="tx1"/>
            </w14:solidFill>
          </w14:textFill>
        </w:rPr>
      </w:pPr>
    </w:p>
    <w:p w14:paraId="34A57B89">
      <w:pPr>
        <w:framePr w:w="9639" w:h="6917" w:hRule="exact" w:wrap="around" w:vAnchor="page" w:hAnchor="page" w:x="1364" w:y="5948" w:anchorLock="1"/>
        <w:spacing w:before="440" w:line="400" w:lineRule="exact"/>
        <w:ind w:firstLine="560"/>
        <w:jc w:val="center"/>
        <w:textAlignment w:val="center"/>
        <w:rPr>
          <w:rFonts w:ascii="宋体"/>
          <w:color w:val="000000" w:themeColor="text1"/>
          <w:kern w:val="0"/>
          <w:sz w:val="28"/>
          <w:szCs w:val="28"/>
          <w14:textFill>
            <w14:solidFill>
              <w14:schemeClr w14:val="tx1"/>
            </w14:solidFill>
          </w14:textFill>
        </w:rPr>
      </w:pPr>
    </w:p>
    <w:p w14:paraId="423B458D">
      <w:pPr>
        <w:widowControl/>
        <w:autoSpaceDE w:val="0"/>
        <w:autoSpaceDN w:val="0"/>
        <w:rPr>
          <w:rFonts w:ascii="宋体"/>
          <w:color w:val="000000" w:themeColor="text1"/>
          <w:kern w:val="0"/>
          <w:szCs w:val="20"/>
          <w14:textFill>
            <w14:solidFill>
              <w14:schemeClr w14:val="tx1"/>
            </w14:solidFill>
          </w14:textFill>
        </w:rPr>
      </w:pPr>
      <w:r>
        <w:rPr>
          <w:rFonts w:ascii="宋体"/>
          <w:color w:val="000000" w:themeColor="text1"/>
          <w:kern w:val="0"/>
          <w:szCs w:val="20"/>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-314960</wp:posOffset>
                </wp:positionV>
                <wp:extent cx="6120130" cy="0"/>
                <wp:effectExtent l="0" t="0" r="0" b="0"/>
                <wp:wrapNone/>
                <wp:docPr id="4" name="Line 17"/>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0000"/>
                          </a:solidFill>
                          <a:round/>
                        </a:ln>
                        <a:effectLst/>
                      </wps:spPr>
                      <wps:bodyPr/>
                    </wps:wsp>
                  </a:graphicData>
                </a:graphic>
              </wp:anchor>
            </w:drawing>
          </mc:Choice>
          <mc:Fallback>
            <w:pict>
              <v:line id="Line 17" o:spid="_x0000_s1026" o:spt="20" style="position:absolute;left:0pt;margin-left:-0.05pt;margin-top:-24.8pt;height:0pt;width:481.9pt;z-index:251660288;mso-width-relative:page;mso-height-relative:page;" filled="f" stroked="t" coordsize="21600,21600" o:gfxdata="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KYwt3ZAAAACQEAAA8AAAAAAAAAAQAgAAAAIgAA&#10;AGRycy9kb3ducmV2LnhtbFBLAQIUABQAAAAIAIdO4kDmDiHOzgEAAK8DAAAOAAAAAAAAAAEAIAAA&#10;ACgBAABkcnMvZTJvRG9jLnhtbFBLBQYAAAAABgAGAFkBAABoBQAAAAA=&#10;">
                <v:fill on="f" focussize="0,0"/>
                <v:stroke weight="1pt" color="#000000" joinstyle="round"/>
                <v:imagedata o:title=""/>
                <o:lock v:ext="edit" aspectratio="f"/>
              </v:line>
            </w:pict>
          </mc:Fallback>
        </mc:AlternateContent>
      </w:r>
    </w:p>
    <w:p w14:paraId="49DC3408">
      <w:pPr>
        <w:framePr w:w="3997" w:h="471" w:hRule="exact" w:vSpace="181" w:wrap="around" w:vAnchor="page" w:hAnchor="page" w:x="1529" w:y="13725" w:anchorLock="1"/>
        <w:widowControl/>
        <w:ind w:firstLine="560"/>
        <w:jc w:val="left"/>
        <w:rPr>
          <w:rFonts w:ascii="黑体" w:hAnsi="黑体" w:eastAsia="黑体"/>
          <w:color w:val="000000" w:themeColor="text1"/>
          <w:kern w:val="0"/>
          <w:sz w:val="24"/>
          <w:szCs w:val="24"/>
          <w14:textFill>
            <w14:solidFill>
              <w14:schemeClr w14:val="tx1"/>
            </w14:solidFill>
          </w14:textFill>
        </w:rPr>
      </w:pPr>
      <w:r>
        <w:rPr>
          <w:rFonts w:hint="eastAsia" w:eastAsia="黑体"/>
          <w:color w:val="000000" w:themeColor="text1"/>
          <w:kern w:val="0"/>
          <w:sz w:val="28"/>
          <w:szCs w:val="20"/>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561340</wp:posOffset>
                </wp:positionH>
                <wp:positionV relativeFrom="paragraph">
                  <wp:posOffset>214630</wp:posOffset>
                </wp:positionV>
                <wp:extent cx="5059680" cy="720090"/>
                <wp:effectExtent l="0" t="0" r="0" b="0"/>
                <wp:wrapNone/>
                <wp:docPr id="6" name="Text Box 19"/>
                <wp:cNvGraphicFramePr/>
                <a:graphic xmlns:a="http://schemas.openxmlformats.org/drawingml/2006/main">
                  <a:graphicData uri="http://schemas.microsoft.com/office/word/2010/wordprocessingShape">
                    <wps:wsp>
                      <wps:cNvSpPr txBox="1"/>
                      <wps:spPr>
                        <a:xfrm>
                          <a:off x="0" y="0"/>
                          <a:ext cx="5059680" cy="720090"/>
                        </a:xfrm>
                        <a:prstGeom prst="rect">
                          <a:avLst/>
                        </a:prstGeom>
                        <a:noFill/>
                        <a:ln>
                          <a:noFill/>
                        </a:ln>
                      </wps:spPr>
                      <wps:txbx>
                        <w:txbxContent>
                          <w:p w14:paraId="4F8B0A80">
                            <w:pPr>
                              <w:pStyle w:val="78"/>
                              <w:rPr>
                                <w:spacing w:val="0"/>
                                <w:sz w:val="32"/>
                                <w:szCs w:val="21"/>
                              </w:rPr>
                            </w:pPr>
                            <w:r>
                              <w:rPr>
                                <w:rStyle w:val="80"/>
                                <w:rFonts w:hint="eastAsia" w:ascii="方正小标宋简体" w:hAnsi="黑体" w:eastAsia="方正小标宋简体"/>
                                <w:spacing w:val="0"/>
                                <w:sz w:val="32"/>
                                <w:szCs w:val="21"/>
                              </w:rPr>
                              <w:t>中 华 环 保 联 合 会</w:t>
                            </w:r>
                            <w:r>
                              <w:rPr>
                                <w:rStyle w:val="80"/>
                                <w:rFonts w:hint="eastAsia" w:hAnsi="黑体"/>
                                <w:spacing w:val="0"/>
                                <w:sz w:val="32"/>
                                <w:szCs w:val="21"/>
                              </w:rPr>
                              <w:t xml:space="preserve">  </w:t>
                            </w:r>
                            <w:r>
                              <w:rPr>
                                <w:rStyle w:val="80"/>
                                <w:rFonts w:hint="eastAsia"/>
                                <w:spacing w:val="0"/>
                              </w:rPr>
                              <w:t>发 布</w:t>
                            </w:r>
                          </w:p>
                        </w:txbxContent>
                      </wps:txbx>
                      <wps:bodyPr lIns="0" tIns="216000" rIns="0" bIns="0" upright="1"/>
                    </wps:wsp>
                  </a:graphicData>
                </a:graphic>
              </wp:anchor>
            </w:drawing>
          </mc:Choice>
          <mc:Fallback>
            <w:pict>
              <v:shape id="Text Box 19" o:spid="_x0000_s1026" o:spt="202" type="#_x0000_t202" style="position:absolute;left:0pt;margin-left:44.2pt;margin-top:16.9pt;height:56.7pt;width:398.4pt;z-index:251662336;mso-width-relative:page;mso-height-relative:page;" filled="f" stroked="f" coordsize="21600,21600" o:gfxdata="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cQ&#10;DlnYAAAACQEAAA8AAAAAAAAAAQAgAAAAIgAAAGRycy9kb3ducmV2LnhtbFBLAQIUABQAAAAIAIdO&#10;4kAlXSkYsQEAAHcDAAAOAAAAAAAAAAEAIAAAACcBAABkcnMvZTJvRG9jLnhtbFBLBQYAAAAABgAG&#10;AFkBAABKBQAAAAA=&#10;">
                <v:fill on="f" focussize="0,0"/>
                <v:stroke on="f"/>
                <v:imagedata o:title=""/>
                <o:lock v:ext="edit" aspectratio="f"/>
                <v:textbox inset="0mm,6mm,0mm,0mm">
                  <w:txbxContent>
                    <w:p w14:paraId="4F8B0A80">
                      <w:pPr>
                        <w:pStyle w:val="78"/>
                        <w:rPr>
                          <w:spacing w:val="0"/>
                          <w:sz w:val="32"/>
                          <w:szCs w:val="21"/>
                        </w:rPr>
                      </w:pPr>
                      <w:r>
                        <w:rPr>
                          <w:rStyle w:val="80"/>
                          <w:rFonts w:hint="eastAsia" w:ascii="方正小标宋简体" w:hAnsi="黑体" w:eastAsia="方正小标宋简体"/>
                          <w:spacing w:val="0"/>
                          <w:sz w:val="32"/>
                          <w:szCs w:val="21"/>
                        </w:rPr>
                        <w:t>中 华 环 保 联 合 会</w:t>
                      </w:r>
                      <w:r>
                        <w:rPr>
                          <w:rStyle w:val="80"/>
                          <w:rFonts w:hint="eastAsia" w:hAnsi="黑体"/>
                          <w:spacing w:val="0"/>
                          <w:sz w:val="32"/>
                          <w:szCs w:val="21"/>
                        </w:rPr>
                        <w:t xml:space="preserve">  </w:t>
                      </w:r>
                      <w:r>
                        <w:rPr>
                          <w:rStyle w:val="80"/>
                          <w:rFonts w:hint="eastAsia"/>
                          <w:spacing w:val="0"/>
                        </w:rPr>
                        <w:t>发 布</w:t>
                      </w:r>
                    </w:p>
                  </w:txbxContent>
                </v:textbox>
              </v:shape>
            </w:pict>
          </mc:Fallback>
        </mc:AlternateContent>
      </w:r>
      <w:r>
        <w:rPr>
          <w:rFonts w:hint="eastAsia" w:ascii="黑体" w:hAnsi="黑体" w:eastAsia="黑体"/>
          <w:color w:val="000000" w:themeColor="text1"/>
          <w:kern w:val="0"/>
          <w:sz w:val="24"/>
          <w:szCs w:val="24"/>
          <w14:textFill>
            <w14:solidFill>
              <w14:schemeClr w14:val="tx1"/>
            </w14:solidFill>
          </w14:textFill>
        </w:rPr>
        <w:t>20</w:t>
      </w:r>
      <w:r>
        <w:rPr>
          <w:rFonts w:hint="eastAsia" w:eastAsia="黑体"/>
          <w:color w:val="000000" w:themeColor="text1"/>
          <w:kern w:val="0"/>
          <w:sz w:val="24"/>
          <w:szCs w:val="24"/>
          <w14:textFill>
            <w14:solidFill>
              <w14:schemeClr w14:val="tx1"/>
            </w14:solidFill>
          </w14:textFill>
        </w:rPr>
        <w:t>□□</w:t>
      </w:r>
      <w:r>
        <w:rPr>
          <w:rFonts w:ascii="黑体" w:hAnsi="黑体" w:eastAsia="黑体"/>
          <w:color w:val="000000" w:themeColor="text1"/>
          <w:kern w:val="0"/>
          <w:sz w:val="24"/>
          <w:szCs w:val="24"/>
          <w14:textFill>
            <w14:solidFill>
              <w14:schemeClr w14:val="tx1"/>
            </w14:solidFill>
          </w14:textFill>
        </w:rPr>
        <w:t>-</w:t>
      </w:r>
      <w:r>
        <w:rPr>
          <w:rFonts w:hint="eastAsia" w:ascii="黑体" w:eastAsia="黑体"/>
          <w:color w:val="000000" w:themeColor="text1"/>
          <w:kern w:val="0"/>
          <w:sz w:val="24"/>
          <w:szCs w:val="24"/>
          <w14:textFill>
            <w14:solidFill>
              <w14:schemeClr w14:val="tx1"/>
            </w14:solidFill>
          </w14:textFill>
        </w:rPr>
        <w:t>□□</w:t>
      </w:r>
      <w:r>
        <w:rPr>
          <w:rFonts w:ascii="黑体" w:hAnsi="黑体" w:eastAsia="黑体"/>
          <w:color w:val="000000" w:themeColor="text1"/>
          <w:kern w:val="0"/>
          <w:sz w:val="24"/>
          <w:szCs w:val="24"/>
          <w14:textFill>
            <w14:solidFill>
              <w14:schemeClr w14:val="tx1"/>
            </w14:solidFill>
          </w14:textFill>
        </w:rPr>
        <w:t>-</w:t>
      </w:r>
      <w:r>
        <w:rPr>
          <w:rFonts w:hint="eastAsia" w:ascii="黑体" w:eastAsia="黑体"/>
          <w:color w:val="000000" w:themeColor="text1"/>
          <w:kern w:val="0"/>
          <w:sz w:val="24"/>
          <w:szCs w:val="24"/>
          <w14:textFill>
            <w14:solidFill>
              <w14:schemeClr w14:val="tx1"/>
            </w14:solidFill>
          </w14:textFill>
        </w:rPr>
        <w:t>□□</w:t>
      </w:r>
      <w:r>
        <w:rPr>
          <w:rFonts w:hint="eastAsia" w:ascii="黑体" w:hAnsi="黑体" w:eastAsia="黑体"/>
          <w:color w:val="000000" w:themeColor="text1"/>
          <w:kern w:val="0"/>
          <w:sz w:val="24"/>
          <w:szCs w:val="24"/>
          <w14:textFill>
            <w14:solidFill>
              <w14:schemeClr w14:val="tx1"/>
            </w14:solidFill>
          </w14:textFill>
        </w:rPr>
        <w:t>发布</w:t>
      </w:r>
      <w:r>
        <w:rPr>
          <w:rFonts w:hint="eastAsia" w:ascii="黑体" w:hAnsi="黑体" w:eastAsia="黑体"/>
          <w:color w:val="000000" w:themeColor="text1"/>
          <w:kern w:val="0"/>
          <w:sz w:val="24"/>
          <w:szCs w:val="24"/>
          <w14:textFill>
            <w14:solidFill>
              <w14:schemeClr w14:val="tx1"/>
            </w14:solidFill>
          </w14:textFill>
        </w:rPr>
        <mc:AlternateContent>
          <mc:Choice Requires="wps">
            <w:drawing>
              <wp:anchor distT="0" distB="0" distL="114300" distR="114300" simplePos="0" relativeHeight="251661312" behindDoc="0" locked="1" layoutInCell="1" allowOverlap="1">
                <wp:simplePos x="0" y="0"/>
                <wp:positionH relativeFrom="column">
                  <wp:posOffset>-38100</wp:posOffset>
                </wp:positionH>
                <wp:positionV relativeFrom="page">
                  <wp:posOffset>8929370</wp:posOffset>
                </wp:positionV>
                <wp:extent cx="6120130" cy="0"/>
                <wp:effectExtent l="0" t="0" r="0" b="0"/>
                <wp:wrapNone/>
                <wp:docPr id="3" name="Line 18"/>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0000"/>
                          </a:solidFill>
                          <a:round/>
                        </a:ln>
                        <a:effectLst/>
                      </wps:spPr>
                      <wps:bodyPr/>
                    </wps:wsp>
                  </a:graphicData>
                </a:graphic>
              </wp:anchor>
            </w:drawing>
          </mc:Choice>
          <mc:Fallback>
            <w:pict>
              <v:line id="Line 18" o:spid="_x0000_s1026" o:spt="20" style="position:absolute;left:0pt;margin-left:-3pt;margin-top:703.1pt;height:0pt;width:481.9pt;mso-position-vertical-relative:page;z-index:251661312;mso-width-relative:page;mso-height-relative:page;" filled="f" stroked="t" coordsize="21600,21600" o:gfxdata="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eIfv59gAAAAMAQAADwAAAAAAAAABACAAAAAiAAAA&#10;ZHJzL2Rvd25yZXYueG1sUEsBAhQAFAAAAAgAh07iQNXq/wbOAQAArwMAAA4AAAAAAAAAAQAgAAAA&#10;JwEAAGRycy9lMm9Eb2MueG1sUEsFBgAAAAAGAAYAWQEAAGcFAAAAAA==&#10;">
                <v:fill on="f" focussize="0,0"/>
                <v:stroke weight="1pt" color="#000000" joinstyle="round"/>
                <v:imagedata o:title=""/>
                <o:lock v:ext="edit" aspectratio="f"/>
                <w10:anchorlock/>
              </v:line>
            </w:pict>
          </mc:Fallback>
        </mc:AlternateContent>
      </w:r>
    </w:p>
    <w:p w14:paraId="64A63A16">
      <w:pPr>
        <w:framePr w:w="3997" w:h="471" w:hRule="exact" w:vSpace="181" w:wrap="notBeside" w:vAnchor="page" w:hAnchor="page" w:x="7100" w:y="13725" w:anchorLock="1"/>
        <w:widowControl/>
        <w:wordWrap w:val="0"/>
        <w:ind w:firstLine="480"/>
        <w:jc w:val="right"/>
        <w:rPr>
          <w:rFonts w:ascii="黑体" w:hAnsi="黑体" w:eastAsia="黑体"/>
          <w:color w:val="000000" w:themeColor="text1"/>
          <w:kern w:val="0"/>
          <w:sz w:val="24"/>
          <w:szCs w:val="24"/>
          <w14:textFill>
            <w14:solidFill>
              <w14:schemeClr w14:val="tx1"/>
            </w14:solidFill>
          </w14:textFill>
        </w:rPr>
      </w:pPr>
      <w:r>
        <w:rPr>
          <w:rFonts w:ascii="黑体" w:hAnsi="黑体" w:eastAsia="黑体"/>
          <w:color w:val="000000" w:themeColor="text1"/>
          <w:kern w:val="0"/>
          <w:sz w:val="24"/>
          <w:szCs w:val="24"/>
          <w14:textFill>
            <w14:solidFill>
              <w14:schemeClr w14:val="tx1"/>
            </w14:solidFill>
          </w14:textFill>
        </w:rPr>
        <w:t>20</w:t>
      </w:r>
      <w:r>
        <w:rPr>
          <w:rFonts w:hint="eastAsia" w:eastAsia="黑体"/>
          <w:color w:val="000000" w:themeColor="text1"/>
          <w:kern w:val="0"/>
          <w:sz w:val="24"/>
          <w:szCs w:val="24"/>
          <w14:textFill>
            <w14:solidFill>
              <w14:schemeClr w14:val="tx1"/>
            </w14:solidFill>
          </w14:textFill>
        </w:rPr>
        <w:t>□□</w:t>
      </w:r>
      <w:r>
        <w:rPr>
          <w:rFonts w:ascii="黑体" w:hAnsi="黑体" w:eastAsia="黑体"/>
          <w:color w:val="000000" w:themeColor="text1"/>
          <w:kern w:val="0"/>
          <w:sz w:val="24"/>
          <w:szCs w:val="24"/>
          <w14:textFill>
            <w14:solidFill>
              <w14:schemeClr w14:val="tx1"/>
            </w14:solidFill>
          </w14:textFill>
        </w:rPr>
        <w:t>-</w:t>
      </w:r>
      <w:r>
        <w:rPr>
          <w:rFonts w:hint="eastAsia" w:ascii="黑体" w:eastAsia="黑体"/>
          <w:color w:val="000000" w:themeColor="text1"/>
          <w:kern w:val="0"/>
          <w:sz w:val="24"/>
          <w:szCs w:val="24"/>
          <w14:textFill>
            <w14:solidFill>
              <w14:schemeClr w14:val="tx1"/>
            </w14:solidFill>
          </w14:textFill>
        </w:rPr>
        <w:t>□□</w:t>
      </w:r>
      <w:r>
        <w:rPr>
          <w:rFonts w:ascii="黑体" w:hAnsi="黑体" w:eastAsia="黑体"/>
          <w:color w:val="000000" w:themeColor="text1"/>
          <w:kern w:val="0"/>
          <w:sz w:val="24"/>
          <w:szCs w:val="24"/>
          <w14:textFill>
            <w14:solidFill>
              <w14:schemeClr w14:val="tx1"/>
            </w14:solidFill>
          </w14:textFill>
        </w:rPr>
        <w:t>-</w:t>
      </w:r>
      <w:r>
        <w:rPr>
          <w:rFonts w:hint="eastAsia" w:ascii="黑体" w:eastAsia="黑体"/>
          <w:color w:val="000000" w:themeColor="text1"/>
          <w:kern w:val="0"/>
          <w:sz w:val="24"/>
          <w:szCs w:val="24"/>
          <w14:textFill>
            <w14:solidFill>
              <w14:schemeClr w14:val="tx1"/>
            </w14:solidFill>
          </w14:textFill>
        </w:rPr>
        <w:t>□□</w:t>
      </w:r>
      <w:r>
        <w:rPr>
          <w:rFonts w:ascii="黑体" w:hAnsi="黑体" w:eastAsia="黑体"/>
          <w:color w:val="000000" w:themeColor="text1"/>
          <w:kern w:val="0"/>
          <w:sz w:val="24"/>
          <w:szCs w:val="24"/>
          <w14:textFill>
            <w14:solidFill>
              <w14:schemeClr w14:val="tx1"/>
            </w14:solidFill>
          </w14:textFill>
        </w:rPr>
        <w:t>实施</w:t>
      </w:r>
    </w:p>
    <w:p w14:paraId="10269FE1">
      <w:pPr>
        <w:widowControl/>
        <w:autoSpaceDE w:val="0"/>
        <w:autoSpaceDN w:val="0"/>
        <w:rPr>
          <w:rFonts w:ascii="宋体"/>
          <w:color w:val="000000" w:themeColor="text1"/>
          <w:kern w:val="0"/>
          <w:szCs w:val="20"/>
          <w14:textFill>
            <w14:solidFill>
              <w14:schemeClr w14:val="tx1"/>
            </w14:solidFill>
          </w14:textFill>
        </w:rPr>
        <w:sectPr>
          <w:headerReference r:id="rId7" w:type="first"/>
          <w:headerReference r:id="rId5" w:type="default"/>
          <w:headerReference r:id="rId6" w:type="even"/>
          <w:footerReference r:id="rId8" w:type="even"/>
          <w:pgSz w:w="11906" w:h="16838"/>
          <w:pgMar w:top="567" w:right="850" w:bottom="1134" w:left="1418" w:header="0" w:footer="0" w:gutter="0"/>
          <w:pgNumType w:start="1"/>
          <w:cols w:space="425" w:num="1"/>
          <w:titlePg/>
          <w:docGrid w:type="lines" w:linePitch="312" w:charSpace="0"/>
        </w:sectPr>
      </w:pPr>
    </w:p>
    <w:bookmarkEnd w:id="0"/>
    <w:bookmarkEnd w:id="1"/>
    <w:bookmarkEnd w:id="2"/>
    <w:p w14:paraId="5B9D3260">
      <w:pPr>
        <w:widowControl/>
        <w:spacing w:line="720" w:lineRule="auto"/>
        <w:ind w:firstLine="640"/>
        <w:jc w:val="center"/>
        <w:rPr>
          <w:rFonts w:eastAsia="黑体"/>
          <w:color w:val="000000" w:themeColor="text1"/>
          <w:sz w:val="32"/>
          <w:szCs w:val="32"/>
          <w14:textFill>
            <w14:solidFill>
              <w14:schemeClr w14:val="tx1"/>
            </w14:solidFill>
          </w14:textFill>
        </w:rPr>
      </w:pPr>
      <w:r>
        <w:rPr>
          <w:rFonts w:hint="eastAsia" w:eastAsia="黑体"/>
          <w:color w:val="000000" w:themeColor="text1"/>
          <w:sz w:val="32"/>
          <w:szCs w:val="32"/>
          <w:lang w:val="zh-CN"/>
          <w14:textFill>
            <w14:solidFill>
              <w14:schemeClr w14:val="tx1"/>
            </w14:solidFill>
          </w14:textFill>
        </w:rPr>
        <w:t>目　次</w:t>
      </w:r>
    </w:p>
    <w:p w14:paraId="303E1CE0">
      <w:pPr>
        <w:pStyle w:val="21"/>
        <w:tabs>
          <w:tab w:val="right" w:leader="dot" w:pos="8306"/>
        </w:tabs>
      </w:pPr>
      <w:r>
        <w:rPr>
          <w:rFonts w:hint="eastAsia" w:ascii="宋体" w:hAnsi="宋体" w:cs="宋体"/>
          <w:color w:val="000000" w:themeColor="text1"/>
          <w:szCs w:val="21"/>
          <w:highlight w:val="yellow"/>
          <w14:textFill>
            <w14:solidFill>
              <w14:schemeClr w14:val="tx1"/>
            </w14:solidFill>
          </w14:textFill>
        </w:rPr>
        <w:fldChar w:fldCharType="begin"/>
      </w:r>
      <w:r>
        <w:rPr>
          <w:rFonts w:hint="eastAsia" w:ascii="宋体" w:hAnsi="宋体" w:cs="宋体"/>
          <w:color w:val="000000" w:themeColor="text1"/>
          <w:szCs w:val="21"/>
          <w:highlight w:val="yellow"/>
          <w14:textFill>
            <w14:solidFill>
              <w14:schemeClr w14:val="tx1"/>
            </w14:solidFill>
          </w14:textFill>
        </w:rPr>
        <w:instrText xml:space="preserve"> TOC \o "1-1" \h \z \u </w:instrText>
      </w:r>
      <w:r>
        <w:rPr>
          <w:rFonts w:hint="eastAsia" w:ascii="宋体" w:hAnsi="宋体" w:cs="宋体"/>
          <w:color w:val="000000" w:themeColor="text1"/>
          <w:szCs w:val="21"/>
          <w:highlight w:val="yellow"/>
          <w14:textFill>
            <w14:solidFill>
              <w14:schemeClr w14:val="tx1"/>
            </w14:solidFill>
          </w14:textFill>
        </w:rPr>
        <w:fldChar w:fldCharType="separate"/>
      </w:r>
      <w:r>
        <w:fldChar w:fldCharType="begin"/>
      </w:r>
      <w:r>
        <w:instrText xml:space="preserve"> HYPERLINK \l "_Toc17123" </w:instrText>
      </w:r>
      <w:r>
        <w:fldChar w:fldCharType="separate"/>
      </w:r>
      <w:r>
        <w:rPr>
          <w:rFonts w:hint="eastAsia" w:eastAsia="黑体"/>
          <w:szCs w:val="30"/>
          <w:lang w:val="zh-CN"/>
        </w:rPr>
        <w:t>前</w:t>
      </w:r>
      <w:r>
        <w:rPr>
          <w:rFonts w:eastAsia="黑体"/>
          <w:szCs w:val="30"/>
          <w:lang w:val="zh-CN"/>
        </w:rPr>
        <w:t xml:space="preserve">  </w:t>
      </w:r>
      <w:r>
        <w:rPr>
          <w:rFonts w:hint="eastAsia" w:eastAsia="黑体"/>
          <w:szCs w:val="30"/>
          <w:lang w:val="zh-CN"/>
        </w:rPr>
        <w:t>言</w:t>
      </w:r>
      <w:r>
        <w:tab/>
      </w:r>
      <w:r>
        <w:fldChar w:fldCharType="begin"/>
      </w:r>
      <w:r>
        <w:instrText xml:space="preserve"> PAGEREF _Toc17123 \h </w:instrText>
      </w:r>
      <w:r>
        <w:fldChar w:fldCharType="separate"/>
      </w:r>
      <w:r>
        <w:t>II</w:t>
      </w:r>
      <w:r>
        <w:fldChar w:fldCharType="end"/>
      </w:r>
      <w:r>
        <w:fldChar w:fldCharType="end"/>
      </w:r>
    </w:p>
    <w:p w14:paraId="42BD7CB0">
      <w:pPr>
        <w:pStyle w:val="21"/>
        <w:tabs>
          <w:tab w:val="right" w:leader="dot" w:pos="8306"/>
        </w:tabs>
      </w:pPr>
      <w:r>
        <w:fldChar w:fldCharType="begin"/>
      </w:r>
      <w:r>
        <w:instrText xml:space="preserve"> HYPERLINK \l "_Toc3797" </w:instrText>
      </w:r>
      <w:r>
        <w:fldChar w:fldCharType="separate"/>
      </w:r>
      <w:r>
        <w:t>1</w:t>
      </w:r>
      <w:r>
        <w:rPr>
          <w:rFonts w:hint="eastAsia"/>
        </w:rPr>
        <w:t>　</w:t>
      </w:r>
      <w:r>
        <w:t>范围</w:t>
      </w:r>
      <w:r>
        <w:tab/>
      </w:r>
      <w:r>
        <w:fldChar w:fldCharType="begin"/>
      </w:r>
      <w:r>
        <w:instrText xml:space="preserve"> PAGEREF _Toc3797 \h </w:instrText>
      </w:r>
      <w:r>
        <w:fldChar w:fldCharType="separate"/>
      </w:r>
      <w:r>
        <w:t>1</w:t>
      </w:r>
      <w:r>
        <w:fldChar w:fldCharType="end"/>
      </w:r>
      <w:r>
        <w:fldChar w:fldCharType="end"/>
      </w:r>
    </w:p>
    <w:p w14:paraId="553B4BCA">
      <w:pPr>
        <w:pStyle w:val="21"/>
        <w:tabs>
          <w:tab w:val="right" w:leader="dot" w:pos="8306"/>
        </w:tabs>
      </w:pPr>
      <w:r>
        <w:fldChar w:fldCharType="begin"/>
      </w:r>
      <w:r>
        <w:instrText xml:space="preserve"> HYPERLINK \l "_Toc5469" </w:instrText>
      </w:r>
      <w:r>
        <w:fldChar w:fldCharType="separate"/>
      </w:r>
      <w:r>
        <w:t>2</w:t>
      </w:r>
      <w:r>
        <w:rPr>
          <w:rFonts w:hint="eastAsia"/>
        </w:rPr>
        <w:t>　</w:t>
      </w:r>
      <w:r>
        <w:t>规范性引用文件</w:t>
      </w:r>
      <w:r>
        <w:tab/>
      </w:r>
      <w:r>
        <w:fldChar w:fldCharType="begin"/>
      </w:r>
      <w:r>
        <w:instrText xml:space="preserve"> PAGEREF _Toc5469 \h </w:instrText>
      </w:r>
      <w:r>
        <w:fldChar w:fldCharType="separate"/>
      </w:r>
      <w:r>
        <w:t>1</w:t>
      </w:r>
      <w:r>
        <w:fldChar w:fldCharType="end"/>
      </w:r>
      <w:r>
        <w:fldChar w:fldCharType="end"/>
      </w:r>
    </w:p>
    <w:p w14:paraId="144BABC1">
      <w:pPr>
        <w:pStyle w:val="21"/>
        <w:tabs>
          <w:tab w:val="right" w:leader="dot" w:pos="8306"/>
        </w:tabs>
      </w:pPr>
      <w:r>
        <w:fldChar w:fldCharType="begin"/>
      </w:r>
      <w:r>
        <w:instrText xml:space="preserve"> HYPERLINK \l "_Toc18336" </w:instrText>
      </w:r>
      <w:r>
        <w:fldChar w:fldCharType="separate"/>
      </w:r>
      <w:r>
        <w:t>3</w:t>
      </w:r>
      <w:r>
        <w:rPr>
          <w:rFonts w:hint="eastAsia"/>
        </w:rPr>
        <w:t>　</w:t>
      </w:r>
      <w:r>
        <w:t>术语和定义</w:t>
      </w:r>
      <w:r>
        <w:tab/>
      </w:r>
      <w:r>
        <w:fldChar w:fldCharType="begin"/>
      </w:r>
      <w:r>
        <w:instrText xml:space="preserve"> PAGEREF _Toc18336 \h </w:instrText>
      </w:r>
      <w:r>
        <w:fldChar w:fldCharType="separate"/>
      </w:r>
      <w:r>
        <w:t>1</w:t>
      </w:r>
      <w:r>
        <w:fldChar w:fldCharType="end"/>
      </w:r>
      <w:r>
        <w:fldChar w:fldCharType="end"/>
      </w:r>
    </w:p>
    <w:p w14:paraId="21434CD6">
      <w:pPr>
        <w:pStyle w:val="21"/>
        <w:tabs>
          <w:tab w:val="right" w:leader="dot" w:pos="8306"/>
        </w:tabs>
      </w:pPr>
      <w:r>
        <w:fldChar w:fldCharType="begin"/>
      </w:r>
      <w:r>
        <w:instrText xml:space="preserve"> HYPERLINK \l "_Toc4214" </w:instrText>
      </w:r>
      <w:r>
        <w:fldChar w:fldCharType="separate"/>
      </w:r>
      <w:r>
        <w:rPr>
          <w:rFonts w:hint="eastAsia"/>
        </w:rPr>
        <w:t>4　基本原则</w:t>
      </w:r>
      <w:r>
        <w:tab/>
      </w:r>
      <w:r>
        <w:fldChar w:fldCharType="begin"/>
      </w:r>
      <w:r>
        <w:instrText xml:space="preserve"> PAGEREF _Toc4214 \h </w:instrText>
      </w:r>
      <w:r>
        <w:fldChar w:fldCharType="separate"/>
      </w:r>
      <w:r>
        <w:t>2</w:t>
      </w:r>
      <w:r>
        <w:fldChar w:fldCharType="end"/>
      </w:r>
      <w:r>
        <w:fldChar w:fldCharType="end"/>
      </w:r>
    </w:p>
    <w:p w14:paraId="56825A0C">
      <w:pPr>
        <w:pStyle w:val="21"/>
        <w:tabs>
          <w:tab w:val="right" w:leader="dot" w:pos="8306"/>
        </w:tabs>
      </w:pPr>
      <w:r>
        <w:fldChar w:fldCharType="begin"/>
      </w:r>
      <w:r>
        <w:instrText xml:space="preserve"> HYPERLINK \l "_Toc17282" </w:instrText>
      </w:r>
      <w:r>
        <w:fldChar w:fldCharType="separate"/>
      </w:r>
      <w:r>
        <w:t xml:space="preserve">5 </w:t>
      </w:r>
      <w:r>
        <w:rPr>
          <w:rFonts w:hint="eastAsia"/>
        </w:rPr>
        <w:t xml:space="preserve"> </w:t>
      </w:r>
      <w:r>
        <w:rPr>
          <w:rFonts w:hint="eastAsia"/>
          <w:lang w:val="en-US" w:eastAsia="zh-CN"/>
        </w:rPr>
        <w:t>采集程序</w:t>
      </w:r>
      <w:r>
        <w:tab/>
      </w:r>
      <w:r>
        <w:fldChar w:fldCharType="begin"/>
      </w:r>
      <w:r>
        <w:instrText xml:space="preserve"> PAGEREF _Toc17282 \h </w:instrText>
      </w:r>
      <w:r>
        <w:fldChar w:fldCharType="separate"/>
      </w:r>
      <w:r>
        <w:t>2</w:t>
      </w:r>
      <w:r>
        <w:fldChar w:fldCharType="end"/>
      </w:r>
      <w:r>
        <w:fldChar w:fldCharType="end"/>
      </w:r>
    </w:p>
    <w:p w14:paraId="6DFE050A">
      <w:pPr>
        <w:pStyle w:val="21"/>
        <w:tabs>
          <w:tab w:val="right" w:leader="dot" w:pos="8306"/>
        </w:tabs>
      </w:pPr>
      <w:r>
        <w:fldChar w:fldCharType="begin"/>
      </w:r>
      <w:r>
        <w:instrText xml:space="preserve"> HYPERLINK \l "_Toc15458" </w:instrText>
      </w:r>
      <w:r>
        <w:fldChar w:fldCharType="separate"/>
      </w:r>
      <w:r>
        <w:t xml:space="preserve">6 </w:t>
      </w:r>
      <w:r>
        <w:rPr>
          <w:rFonts w:hint="eastAsia"/>
        </w:rPr>
        <w:t xml:space="preserve"> 信息采集内容</w:t>
      </w:r>
      <w:r>
        <w:tab/>
      </w:r>
      <w:r>
        <w:fldChar w:fldCharType="begin"/>
      </w:r>
      <w:r>
        <w:instrText xml:space="preserve"> PAGEREF _Toc15458 \h </w:instrText>
      </w:r>
      <w:r>
        <w:fldChar w:fldCharType="separate"/>
      </w:r>
      <w:r>
        <w:t>3</w:t>
      </w:r>
      <w:r>
        <w:fldChar w:fldCharType="end"/>
      </w:r>
      <w:r>
        <w:fldChar w:fldCharType="end"/>
      </w:r>
    </w:p>
    <w:p w14:paraId="6FFAC54E">
      <w:pPr>
        <w:pStyle w:val="21"/>
        <w:tabs>
          <w:tab w:val="right" w:leader="dot" w:pos="8306"/>
        </w:tabs>
      </w:pPr>
      <w:r>
        <w:fldChar w:fldCharType="begin"/>
      </w:r>
      <w:r>
        <w:instrText xml:space="preserve"> HYPERLINK \l "_Toc11177" </w:instrText>
      </w:r>
      <w:r>
        <w:fldChar w:fldCharType="separate"/>
      </w:r>
      <w:r>
        <w:rPr>
          <w:rFonts w:hint="eastAsia"/>
        </w:rPr>
        <w:t>7　信息采集方式</w:t>
      </w:r>
      <w:r>
        <w:tab/>
      </w:r>
      <w:r>
        <w:fldChar w:fldCharType="begin"/>
      </w:r>
      <w:r>
        <w:instrText xml:space="preserve"> PAGEREF _Toc11177 \h </w:instrText>
      </w:r>
      <w:r>
        <w:fldChar w:fldCharType="separate"/>
      </w:r>
      <w:r>
        <w:t>5</w:t>
      </w:r>
      <w:r>
        <w:fldChar w:fldCharType="end"/>
      </w:r>
      <w:r>
        <w:fldChar w:fldCharType="end"/>
      </w:r>
    </w:p>
    <w:p w14:paraId="64598F7C">
      <w:pPr>
        <w:pStyle w:val="21"/>
        <w:tabs>
          <w:tab w:val="right" w:leader="dot" w:pos="8306"/>
        </w:tabs>
      </w:pPr>
      <w:r>
        <w:fldChar w:fldCharType="begin"/>
      </w:r>
      <w:r>
        <w:instrText xml:space="preserve"> HYPERLINK \l "_Toc24657" </w:instrText>
      </w:r>
      <w:r>
        <w:fldChar w:fldCharType="separate"/>
      </w:r>
      <w:r>
        <w:rPr>
          <w:rFonts w:hint="eastAsia"/>
        </w:rPr>
        <w:t>8　信息采集技术</w:t>
      </w:r>
      <w:r>
        <w:tab/>
      </w:r>
      <w:r>
        <w:fldChar w:fldCharType="begin"/>
      </w:r>
      <w:r>
        <w:instrText xml:space="preserve"> PAGEREF _Toc24657 \h </w:instrText>
      </w:r>
      <w:r>
        <w:fldChar w:fldCharType="separate"/>
      </w:r>
      <w:r>
        <w:t>7</w:t>
      </w:r>
      <w:r>
        <w:fldChar w:fldCharType="end"/>
      </w:r>
      <w:r>
        <w:fldChar w:fldCharType="end"/>
      </w:r>
    </w:p>
    <w:p w14:paraId="46BBE76C">
      <w:pPr>
        <w:pStyle w:val="21"/>
        <w:tabs>
          <w:tab w:val="right" w:leader="dot" w:pos="8306"/>
        </w:tabs>
      </w:pPr>
      <w:r>
        <w:fldChar w:fldCharType="begin"/>
      </w:r>
      <w:r>
        <w:instrText xml:space="preserve"> HYPERLINK \l "_Toc19025" </w:instrText>
      </w:r>
      <w:r>
        <w:fldChar w:fldCharType="separate"/>
      </w:r>
      <w:r>
        <w:rPr>
          <w:rFonts w:hint="eastAsia"/>
        </w:rPr>
        <w:t>9　质量控制</w:t>
      </w:r>
      <w:r>
        <w:tab/>
      </w:r>
      <w:r>
        <w:fldChar w:fldCharType="begin"/>
      </w:r>
      <w:r>
        <w:instrText xml:space="preserve"> PAGEREF _Toc19025 \h </w:instrText>
      </w:r>
      <w:r>
        <w:fldChar w:fldCharType="separate"/>
      </w:r>
      <w:r>
        <w:t>7</w:t>
      </w:r>
      <w:r>
        <w:fldChar w:fldCharType="end"/>
      </w:r>
      <w:r>
        <w:fldChar w:fldCharType="end"/>
      </w:r>
    </w:p>
    <w:p w14:paraId="452558E4">
      <w:pPr>
        <w:pStyle w:val="21"/>
        <w:tabs>
          <w:tab w:val="right" w:leader="dot" w:pos="8306"/>
        </w:tabs>
      </w:pPr>
      <w:r>
        <w:fldChar w:fldCharType="begin"/>
      </w:r>
      <w:r>
        <w:instrText xml:space="preserve"> HYPERLINK \l "_Toc1560" </w:instrText>
      </w:r>
      <w:r>
        <w:fldChar w:fldCharType="separate"/>
      </w:r>
      <w:r>
        <w:rPr>
          <w:rFonts w:hint="eastAsia"/>
        </w:rPr>
        <w:t>10 信息更新与维护</w:t>
      </w:r>
      <w:r>
        <w:tab/>
      </w:r>
      <w:r>
        <w:fldChar w:fldCharType="begin"/>
      </w:r>
      <w:r>
        <w:instrText xml:space="preserve"> PAGEREF _Toc1560 \h </w:instrText>
      </w:r>
      <w:r>
        <w:fldChar w:fldCharType="separate"/>
      </w:r>
      <w:r>
        <w:t>9</w:t>
      </w:r>
      <w:r>
        <w:fldChar w:fldCharType="end"/>
      </w:r>
      <w:r>
        <w:fldChar w:fldCharType="end"/>
      </w:r>
    </w:p>
    <w:p w14:paraId="4601F7F8">
      <w:pPr>
        <w:pStyle w:val="21"/>
        <w:tabs>
          <w:tab w:val="right" w:leader="dot" w:pos="8306"/>
        </w:tabs>
      </w:pPr>
      <w:r>
        <w:fldChar w:fldCharType="begin"/>
      </w:r>
      <w:r>
        <w:instrText xml:space="preserve"> HYPERLINK \l "_Toc28767" </w:instrText>
      </w:r>
      <w:r>
        <w:fldChar w:fldCharType="separate"/>
      </w:r>
      <w:r>
        <w:rPr>
          <w:rFonts w:hint="eastAsia"/>
          <w:szCs w:val="21"/>
        </w:rPr>
        <w:t>附录</w:t>
      </w:r>
      <w:r>
        <w:rPr>
          <w:szCs w:val="21"/>
        </w:rPr>
        <w:t>A</w:t>
      </w:r>
      <w:r>
        <w:rPr>
          <w:rFonts w:hint="eastAsia"/>
          <w:szCs w:val="21"/>
        </w:rPr>
        <w:t>（资料性）</w:t>
      </w:r>
      <w:r>
        <w:rPr>
          <w:rFonts w:hint="eastAsia"/>
        </w:rPr>
        <w:t>企业基本信息收集表</w:t>
      </w:r>
      <w:r>
        <w:tab/>
      </w:r>
      <w:r>
        <w:fldChar w:fldCharType="begin"/>
      </w:r>
      <w:r>
        <w:instrText xml:space="preserve"> PAGEREF _Toc28767 \h </w:instrText>
      </w:r>
      <w:r>
        <w:fldChar w:fldCharType="separate"/>
      </w:r>
      <w:r>
        <w:t>10</w:t>
      </w:r>
      <w:r>
        <w:fldChar w:fldCharType="end"/>
      </w:r>
      <w:r>
        <w:fldChar w:fldCharType="end"/>
      </w:r>
    </w:p>
    <w:p w14:paraId="4EBB5FF5">
      <w:pPr>
        <w:pStyle w:val="21"/>
        <w:tabs>
          <w:tab w:val="right" w:leader="dot" w:pos="8306"/>
        </w:tabs>
      </w:pPr>
      <w:r>
        <w:fldChar w:fldCharType="begin"/>
      </w:r>
      <w:r>
        <w:instrText xml:space="preserve"> HYPERLINK \l "_Toc28873" </w:instrText>
      </w:r>
      <w:r>
        <w:fldChar w:fldCharType="separate"/>
      </w:r>
      <w:r>
        <w:rPr>
          <w:rFonts w:hint="eastAsia"/>
          <w:szCs w:val="21"/>
        </w:rPr>
        <w:t>附录B（资料性）</w:t>
      </w:r>
      <w:r>
        <w:rPr>
          <w:rFonts w:hint="eastAsia" w:ascii="Times New Roman" w:hAnsi="Times New Roman" w:eastAsia="宋体" w:cs="宋体"/>
          <w:sz w:val="21"/>
        </w:rPr>
        <w:t>生产及储运区信息收集表</w:t>
      </w:r>
      <w:r>
        <w:tab/>
      </w:r>
      <w:r>
        <w:fldChar w:fldCharType="begin"/>
      </w:r>
      <w:r>
        <w:instrText xml:space="preserve"> PAGEREF _Toc28873 \h </w:instrText>
      </w:r>
      <w:r>
        <w:fldChar w:fldCharType="separate"/>
      </w:r>
      <w:r>
        <w:t>11</w:t>
      </w:r>
      <w:r>
        <w:fldChar w:fldCharType="end"/>
      </w:r>
      <w:r>
        <w:fldChar w:fldCharType="end"/>
      </w:r>
    </w:p>
    <w:p w14:paraId="1BF56719">
      <w:pPr>
        <w:pStyle w:val="21"/>
        <w:tabs>
          <w:tab w:val="right" w:leader="dot" w:pos="8306"/>
        </w:tabs>
      </w:pPr>
      <w:r>
        <w:fldChar w:fldCharType="begin"/>
      </w:r>
      <w:r>
        <w:instrText xml:space="preserve"> HYPERLINK \l "_Toc10286" </w:instrText>
      </w:r>
      <w:r>
        <w:fldChar w:fldCharType="separate"/>
      </w:r>
      <w:r>
        <w:rPr>
          <w:rFonts w:hint="eastAsia"/>
          <w:szCs w:val="21"/>
        </w:rPr>
        <w:t>附录C（资料性）</w:t>
      </w:r>
      <w:r>
        <w:rPr>
          <w:rFonts w:hint="eastAsia" w:ascii="Times New Roman" w:hAnsi="Times New Roman" w:eastAsia="宋体"/>
          <w:sz w:val="21"/>
        </w:rPr>
        <w:t>废水处理区信息收集表</w:t>
      </w:r>
      <w:r>
        <w:tab/>
      </w:r>
      <w:r>
        <w:fldChar w:fldCharType="begin"/>
      </w:r>
      <w:r>
        <w:instrText xml:space="preserve"> PAGEREF _Toc10286 \h </w:instrText>
      </w:r>
      <w:r>
        <w:fldChar w:fldCharType="separate"/>
      </w:r>
      <w:r>
        <w:t>12</w:t>
      </w:r>
      <w:r>
        <w:fldChar w:fldCharType="end"/>
      </w:r>
      <w:r>
        <w:fldChar w:fldCharType="end"/>
      </w:r>
    </w:p>
    <w:p w14:paraId="11B00C29">
      <w:pPr>
        <w:pStyle w:val="21"/>
        <w:tabs>
          <w:tab w:val="right" w:leader="dot" w:pos="8306"/>
        </w:tabs>
      </w:pPr>
      <w:r>
        <w:fldChar w:fldCharType="begin"/>
      </w:r>
      <w:r>
        <w:instrText xml:space="preserve"> HYPERLINK \l "_Toc31314" </w:instrText>
      </w:r>
      <w:r>
        <w:fldChar w:fldCharType="separate"/>
      </w:r>
      <w:r>
        <w:rPr>
          <w:rFonts w:hint="eastAsia"/>
          <w:szCs w:val="21"/>
        </w:rPr>
        <w:t>附录D（资料性）</w:t>
      </w:r>
      <w:r>
        <w:rPr>
          <w:rFonts w:hint="eastAsia"/>
        </w:rPr>
        <w:t>固体废物贮存区信息收集表</w:t>
      </w:r>
      <w:r>
        <w:tab/>
      </w:r>
      <w:r>
        <w:fldChar w:fldCharType="begin"/>
      </w:r>
      <w:r>
        <w:instrText xml:space="preserve"> PAGEREF _Toc31314 \h </w:instrText>
      </w:r>
      <w:r>
        <w:fldChar w:fldCharType="separate"/>
      </w:r>
      <w:r>
        <w:t>13</w:t>
      </w:r>
      <w:r>
        <w:fldChar w:fldCharType="end"/>
      </w:r>
      <w:r>
        <w:fldChar w:fldCharType="end"/>
      </w:r>
    </w:p>
    <w:p w14:paraId="111F78BC">
      <w:pPr>
        <w:pStyle w:val="21"/>
        <w:tabs>
          <w:tab w:val="right" w:leader="dot" w:pos="8306"/>
        </w:tabs>
      </w:pPr>
      <w:r>
        <w:fldChar w:fldCharType="begin"/>
      </w:r>
      <w:r>
        <w:instrText xml:space="preserve"> HYPERLINK \l "_Toc15451" </w:instrText>
      </w:r>
      <w:r>
        <w:fldChar w:fldCharType="separate"/>
      </w:r>
      <w:r>
        <w:rPr>
          <w:rFonts w:hint="eastAsia"/>
          <w:szCs w:val="21"/>
        </w:rPr>
        <w:t>附录E（资料性）</w:t>
      </w:r>
      <w:r>
        <w:rPr>
          <w:rFonts w:hint="eastAsia"/>
        </w:rPr>
        <w:t>其他活动区信息收集表</w:t>
      </w:r>
      <w:r>
        <w:tab/>
      </w:r>
      <w:r>
        <w:fldChar w:fldCharType="begin"/>
      </w:r>
      <w:r>
        <w:instrText xml:space="preserve"> PAGEREF _Toc15451 \h </w:instrText>
      </w:r>
      <w:r>
        <w:fldChar w:fldCharType="separate"/>
      </w:r>
      <w:r>
        <w:t>14</w:t>
      </w:r>
      <w:r>
        <w:fldChar w:fldCharType="end"/>
      </w:r>
      <w:r>
        <w:fldChar w:fldCharType="end"/>
      </w:r>
    </w:p>
    <w:p w14:paraId="446FD1AA">
      <w:pPr>
        <w:pStyle w:val="21"/>
        <w:tabs>
          <w:tab w:val="right" w:leader="dot" w:pos="8306"/>
        </w:tabs>
      </w:pPr>
      <w:r>
        <w:fldChar w:fldCharType="begin"/>
      </w:r>
      <w:r>
        <w:instrText xml:space="preserve"> HYPERLINK \l "_Toc31224" </w:instrText>
      </w:r>
      <w:r>
        <w:fldChar w:fldCharType="separate"/>
      </w:r>
      <w:r>
        <w:rPr>
          <w:rFonts w:hint="eastAsia"/>
          <w:szCs w:val="21"/>
        </w:rPr>
        <w:t>附录F（资料性）</w:t>
      </w:r>
      <w:r>
        <w:rPr>
          <w:rFonts w:hint="eastAsia" w:ascii="Arial" w:hAnsi="Arial"/>
        </w:rPr>
        <w:t>资料收集清单</w:t>
      </w:r>
      <w:r>
        <w:tab/>
      </w:r>
      <w:r>
        <w:fldChar w:fldCharType="begin"/>
      </w:r>
      <w:r>
        <w:instrText xml:space="preserve"> PAGEREF _Toc31224 \h </w:instrText>
      </w:r>
      <w:r>
        <w:fldChar w:fldCharType="separate"/>
      </w:r>
      <w:r>
        <w:t>15</w:t>
      </w:r>
      <w:r>
        <w:fldChar w:fldCharType="end"/>
      </w:r>
      <w:r>
        <w:fldChar w:fldCharType="end"/>
      </w:r>
    </w:p>
    <w:p w14:paraId="7FBE7D32">
      <w:pPr>
        <w:pStyle w:val="21"/>
        <w:tabs>
          <w:tab w:val="right" w:leader="dot" w:pos="8306"/>
        </w:tabs>
      </w:pPr>
      <w:r>
        <w:fldChar w:fldCharType="begin"/>
      </w:r>
      <w:r>
        <w:instrText xml:space="preserve"> HYPERLINK \l "_Toc13543" </w:instrText>
      </w:r>
      <w:r>
        <w:fldChar w:fldCharType="separate"/>
      </w:r>
      <w:r>
        <w:rPr>
          <w:rFonts w:hint="eastAsia"/>
          <w:szCs w:val="21"/>
        </w:rPr>
        <w:t>附录G（资料性）</w:t>
      </w:r>
      <w:r>
        <w:rPr>
          <w:rFonts w:hint="eastAsia" w:ascii="Arial" w:hAnsi="Arial"/>
        </w:rPr>
        <w:t>实时记录资料列表</w:t>
      </w:r>
      <w:r>
        <w:tab/>
      </w:r>
      <w:r>
        <w:fldChar w:fldCharType="begin"/>
      </w:r>
      <w:r>
        <w:instrText xml:space="preserve"> PAGEREF _Toc13543 \h </w:instrText>
      </w:r>
      <w:r>
        <w:fldChar w:fldCharType="separate"/>
      </w:r>
      <w:r>
        <w:t>16</w:t>
      </w:r>
      <w:r>
        <w:fldChar w:fldCharType="end"/>
      </w:r>
      <w:r>
        <w:fldChar w:fldCharType="end"/>
      </w:r>
    </w:p>
    <w:p w14:paraId="7F15FF8E">
      <w:pPr>
        <w:rPr>
          <w:color w:val="000000" w:themeColor="text1"/>
          <w:sz w:val="24"/>
          <w:szCs w:val="24"/>
          <w14:textFill>
            <w14:solidFill>
              <w14:schemeClr w14:val="tx1"/>
            </w14:solidFill>
          </w14:textFill>
        </w:rPr>
      </w:pPr>
      <w:r>
        <w:rPr>
          <w:rFonts w:hint="eastAsia" w:ascii="宋体" w:hAnsi="宋体" w:cs="宋体"/>
          <w:color w:val="000000" w:themeColor="text1"/>
          <w:szCs w:val="21"/>
          <w:highlight w:val="yellow"/>
          <w14:textFill>
            <w14:solidFill>
              <w14:schemeClr w14:val="tx1"/>
            </w14:solidFill>
          </w14:textFill>
        </w:rPr>
        <w:fldChar w:fldCharType="end"/>
      </w:r>
    </w:p>
    <w:p w14:paraId="757C4CFF">
      <w:pPr>
        <w:ind w:firstLine="480"/>
        <w:rPr>
          <w:color w:val="000000" w:themeColor="text1"/>
          <w:sz w:val="24"/>
          <w:szCs w:val="24"/>
          <w14:textFill>
            <w14:solidFill>
              <w14:schemeClr w14:val="tx1"/>
            </w14:solidFill>
          </w14:textFill>
        </w:rPr>
      </w:pPr>
    </w:p>
    <w:p w14:paraId="58C3D514">
      <w:pPr>
        <w:ind w:firstLine="480"/>
        <w:rPr>
          <w:color w:val="000000" w:themeColor="text1"/>
          <w:sz w:val="24"/>
          <w:szCs w:val="24"/>
          <w14:textFill>
            <w14:solidFill>
              <w14:schemeClr w14:val="tx1"/>
            </w14:solidFill>
          </w14:textFill>
        </w:rPr>
        <w:sectPr>
          <w:footerReference r:id="rId9" w:type="default"/>
          <w:pgSz w:w="11906" w:h="16838"/>
          <w:pgMar w:top="1440" w:right="1800" w:bottom="1440" w:left="1800" w:header="851" w:footer="992" w:gutter="0"/>
          <w:pgNumType w:fmt="upperRoman" w:start="1"/>
          <w:cols w:space="720" w:num="1"/>
          <w:docGrid w:type="lines" w:linePitch="312" w:charSpace="0"/>
        </w:sectPr>
      </w:pPr>
    </w:p>
    <w:p w14:paraId="49B610C8">
      <w:pPr>
        <w:widowControl/>
        <w:spacing w:line="720" w:lineRule="auto"/>
        <w:ind w:firstLine="0" w:firstLineChars="0"/>
        <w:jc w:val="center"/>
        <w:outlineLvl w:val="0"/>
        <w:rPr>
          <w:rFonts w:eastAsia="黑体"/>
          <w:color w:val="000000" w:themeColor="text1"/>
          <w:sz w:val="32"/>
          <w:szCs w:val="30"/>
          <w:lang w:val="zh-CN"/>
          <w14:textFill>
            <w14:solidFill>
              <w14:schemeClr w14:val="tx1"/>
            </w14:solidFill>
          </w14:textFill>
        </w:rPr>
      </w:pPr>
      <w:bookmarkStart w:id="3" w:name="_Toc395187802"/>
      <w:bookmarkStart w:id="4" w:name="_Toc17123"/>
      <w:r>
        <w:rPr>
          <w:rFonts w:hint="eastAsia" w:eastAsia="黑体"/>
          <w:color w:val="000000" w:themeColor="text1"/>
          <w:sz w:val="32"/>
          <w:szCs w:val="30"/>
          <w:lang w:val="zh-CN"/>
          <w14:textFill>
            <w14:solidFill>
              <w14:schemeClr w14:val="tx1"/>
            </w14:solidFill>
          </w14:textFill>
        </w:rPr>
        <w:t>前</w:t>
      </w:r>
      <w:r>
        <w:rPr>
          <w:rFonts w:eastAsia="黑体"/>
          <w:color w:val="000000" w:themeColor="text1"/>
          <w:sz w:val="32"/>
          <w:szCs w:val="30"/>
          <w:lang w:val="zh-CN"/>
          <w14:textFill>
            <w14:solidFill>
              <w14:schemeClr w14:val="tx1"/>
            </w14:solidFill>
          </w14:textFill>
        </w:rPr>
        <w:t xml:space="preserve">  </w:t>
      </w:r>
      <w:r>
        <w:rPr>
          <w:rFonts w:hint="eastAsia" w:eastAsia="黑体"/>
          <w:color w:val="000000" w:themeColor="text1"/>
          <w:sz w:val="32"/>
          <w:szCs w:val="30"/>
          <w:lang w:val="zh-CN"/>
          <w14:textFill>
            <w14:solidFill>
              <w14:schemeClr w14:val="tx1"/>
            </w14:solidFill>
          </w14:textFill>
        </w:rPr>
        <w:t>言</w:t>
      </w:r>
      <w:bookmarkEnd w:id="3"/>
      <w:bookmarkEnd w:id="4"/>
    </w:p>
    <w:p w14:paraId="28F5F305">
      <w:pP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本文件按照GB/T1.1-2020《标准化工作导则  第1部分：标准化文件的结构和起草规则》的规定起草。</w:t>
      </w:r>
    </w:p>
    <w:p w14:paraId="751FDE96">
      <w:pP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请注意本文件的某些内容可能涉及专利。本文件的发布机构不承担识别专利的责任。</w:t>
      </w:r>
    </w:p>
    <w:p w14:paraId="479084F2">
      <w:pP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本文件由中铝环保节能集团有限公司提出。</w:t>
      </w:r>
    </w:p>
    <w:p w14:paraId="2382132A">
      <w:pP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本文件由中华环保联合会归口。</w:t>
      </w:r>
    </w:p>
    <w:p w14:paraId="6C5D966E">
      <w:pP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本文件起草单位：中铝环保节能集团有限公司</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中国科学院地理科学与资源研究所</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中国环境监测总站</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京师天启（北京）科技有限公司</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江苏长三角环境科学技术研究院有限公司</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中铝环保节能科技（湖南）有限公司</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北京师范大学</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生态环境部卫星环境应用中心</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清华大学。</w:t>
      </w:r>
    </w:p>
    <w:p w14:paraId="3799CF55">
      <w:pP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本文件主要起草人：雷梅</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娄俊鹏</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徐岷珂</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杜心</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唐晓声</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周睿</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蒋欣芮</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胡剑波</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练以诚</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姜晓旭</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孟祥源</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彭川</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胡立堂</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熊文成</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鞠铁男</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梁蓉</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宋向茹</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吕华芳</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闫飞飞</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付艳宁</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王丹琴</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刘秀。</w:t>
      </w:r>
    </w:p>
    <w:p w14:paraId="330D0130">
      <w:pPr>
        <w:pStyle w:val="12"/>
        <w:spacing w:before="0"/>
        <w:ind w:left="0"/>
        <w:jc w:val="both"/>
        <w:rPr>
          <w:rFonts w:ascii="Times New Roman" w:hAnsi="Times New Roman"/>
          <w:color w:val="000000"/>
          <w:lang w:eastAsia="zh-CN"/>
        </w:rPr>
      </w:pPr>
    </w:p>
    <w:p w14:paraId="26AB6808">
      <w:pPr>
        <w:pStyle w:val="12"/>
        <w:adjustRightInd w:val="0"/>
        <w:snapToGrid w:val="0"/>
        <w:spacing w:before="0"/>
        <w:ind w:left="0"/>
        <w:jc w:val="both"/>
        <w:rPr>
          <w:rFonts w:ascii="Times New Roman" w:hAnsi="Times New Roman"/>
          <w:color w:val="000000" w:themeColor="text1"/>
          <w:lang w:eastAsia="zh-CN"/>
          <w14:textFill>
            <w14:solidFill>
              <w14:schemeClr w14:val="tx1"/>
            </w14:solidFill>
          </w14:textFill>
        </w:rPr>
      </w:pPr>
    </w:p>
    <w:p w14:paraId="0C2350E4">
      <w:pPr>
        <w:pStyle w:val="12"/>
        <w:adjustRightInd w:val="0"/>
        <w:snapToGrid w:val="0"/>
        <w:spacing w:before="0"/>
        <w:ind w:left="0"/>
        <w:jc w:val="both"/>
        <w:rPr>
          <w:color w:val="000000" w:themeColor="text1"/>
          <w:lang w:eastAsia="zh-CN"/>
          <w14:textFill>
            <w14:solidFill>
              <w14:schemeClr w14:val="tx1"/>
            </w14:solidFill>
          </w14:textFill>
        </w:rPr>
      </w:pPr>
    </w:p>
    <w:p w14:paraId="1086E11E">
      <w:pPr>
        <w:rPr>
          <w:color w:val="000000" w:themeColor="text1"/>
          <w14:textFill>
            <w14:solidFill>
              <w14:schemeClr w14:val="tx1"/>
            </w14:solidFill>
          </w14:textFill>
        </w:rPr>
        <w:sectPr>
          <w:footerReference r:id="rId10" w:type="default"/>
          <w:pgSz w:w="11906" w:h="16838"/>
          <w:pgMar w:top="1440" w:right="1800" w:bottom="1440" w:left="1800" w:header="851" w:footer="992" w:gutter="0"/>
          <w:pgNumType w:fmt="upperRoman" w:start="2"/>
          <w:cols w:space="720" w:num="1"/>
          <w:docGrid w:type="lines" w:linePitch="312" w:charSpace="0"/>
        </w:sectPr>
      </w:pPr>
      <w:bookmarkStart w:id="34" w:name="_GoBack"/>
      <w:bookmarkEnd w:id="34"/>
    </w:p>
    <w:p w14:paraId="6B486586">
      <w:pPr>
        <w:ind w:firstLine="0" w:firstLineChars="0"/>
        <w:jc w:val="center"/>
        <w:rPr>
          <w:rFonts w:ascii="黑体" w:hAnsi="黑体" w:eastAsia="黑体"/>
          <w:color w:val="000000" w:themeColor="text1"/>
          <w:sz w:val="32"/>
          <w:szCs w:val="32"/>
          <w14:textFill>
            <w14:solidFill>
              <w14:schemeClr w14:val="tx1"/>
            </w14:solidFill>
          </w14:textFill>
        </w:rPr>
      </w:pPr>
      <w:bookmarkStart w:id="5" w:name="_Toc395187803"/>
      <w:r>
        <w:rPr>
          <w:rFonts w:hint="eastAsia" w:eastAsia="黑体"/>
          <w:color w:val="000000" w:themeColor="text1"/>
          <w:kern w:val="0"/>
          <w:sz w:val="32"/>
          <w:szCs w:val="32"/>
          <w14:textFill>
            <w14:solidFill>
              <w14:schemeClr w14:val="tx1"/>
            </w14:solidFill>
          </w14:textFill>
        </w:rPr>
        <w:t>工业企业土壤污染防控信息采集技术指南</w:t>
      </w:r>
    </w:p>
    <w:p w14:paraId="3E44B868">
      <w:pPr>
        <w:pStyle w:val="2"/>
      </w:pPr>
      <w:bookmarkStart w:id="6" w:name="_Toc3797"/>
      <w:r>
        <w:t>1</w:t>
      </w:r>
      <w:r>
        <w:rPr>
          <w:rFonts w:hint="eastAsia"/>
        </w:rPr>
        <w:t>　</w:t>
      </w:r>
      <w:r>
        <w:t>范围</w:t>
      </w:r>
      <w:bookmarkEnd w:id="5"/>
      <w:bookmarkEnd w:id="6"/>
    </w:p>
    <w:p w14:paraId="3A6BDFD8">
      <w:pPr>
        <w:widowControl/>
      </w:pPr>
      <w:bookmarkStart w:id="7" w:name="_Toc435177678"/>
      <w:bookmarkStart w:id="8" w:name="_Toc435177482"/>
      <w:r>
        <w:rPr>
          <w:rFonts w:hint="eastAsia"/>
        </w:rPr>
        <w:t>本文件规定了工业企业土壤污染防控信息采集的基本原则、采集程序、内容、方式、技术及质量控制、信息更新与维护等内容。</w:t>
      </w:r>
    </w:p>
    <w:p w14:paraId="6C5FF2F1">
      <w:pPr>
        <w:widowControl/>
      </w:pPr>
      <w:r>
        <w:rPr>
          <w:rFonts w:hint="eastAsia"/>
        </w:rPr>
        <w:t>本文件适用于工业企业生产过程中土壤污染防控信息的采集。</w:t>
      </w:r>
    </w:p>
    <w:bookmarkEnd w:id="7"/>
    <w:bookmarkEnd w:id="8"/>
    <w:p w14:paraId="190311A0">
      <w:pPr>
        <w:pStyle w:val="2"/>
      </w:pPr>
      <w:bookmarkStart w:id="9" w:name="_Toc5469"/>
      <w:r>
        <w:t>2</w:t>
      </w:r>
      <w:r>
        <w:rPr>
          <w:rFonts w:hint="eastAsia"/>
        </w:rPr>
        <w:t>　</w:t>
      </w:r>
      <w:r>
        <w:t>规范性引用文件</w:t>
      </w:r>
      <w:bookmarkEnd w:id="9"/>
    </w:p>
    <w:p w14:paraId="6BFD8647">
      <w:pPr>
        <w:rPr>
          <w:color w:val="000000" w:themeColor="text1"/>
          <w:szCs w:val="21"/>
          <w14:textFill>
            <w14:solidFill>
              <w14:schemeClr w14:val="tx1"/>
            </w14:solidFill>
          </w14:textFill>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F40DB56">
      <w:pPr>
        <w:rPr>
          <w:color w:val="000000" w:themeColor="text1"/>
          <w:szCs w:val="21"/>
          <w14:textFill>
            <w14:solidFill>
              <w14:schemeClr w14:val="tx1"/>
            </w14:solidFill>
          </w14:textFill>
        </w:rPr>
      </w:pPr>
      <w:bookmarkStart w:id="10" w:name="_Toc395187805"/>
      <w:r>
        <w:rPr>
          <w:rFonts w:hint="eastAsia"/>
          <w:color w:val="000000" w:themeColor="text1"/>
          <w:szCs w:val="21"/>
          <w14:textFill>
            <w14:solidFill>
              <w14:schemeClr w14:val="tx1"/>
            </w14:solidFill>
          </w14:textFill>
        </w:rPr>
        <w:t>GB 36600 土壤环境质量 建设用地土壤污染风险管控标准（试行）</w:t>
      </w:r>
    </w:p>
    <w:p w14:paraId="215D5919">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HJ 1209 工业企业土壤和地下水自行监测技术指南（试行）</w:t>
      </w:r>
    </w:p>
    <w:p w14:paraId="2C09BC26">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HJ 164 地下水环境监测技术规范</w:t>
      </w:r>
    </w:p>
    <w:p w14:paraId="5E0D69A4">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HJ 25.1 建设用地土壤污染状况调查技术导则</w:t>
      </w:r>
    </w:p>
    <w:p w14:paraId="75DC3C67">
      <w:pP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HJ 417 生态环境信息分类与代码</w:t>
      </w:r>
    </w:p>
    <w:p w14:paraId="05A36344">
      <w:pPr>
        <w:rPr>
          <w:rFonts w:hint="eastAsia"/>
        </w:rPr>
      </w:pPr>
      <w:r>
        <w:t>生态环境部公告 2021 年第 1 号 重点监管单位土壤污染隐患排查指南（试行）</w:t>
      </w:r>
    </w:p>
    <w:p w14:paraId="1B95C46D">
      <w:pPr>
        <w:pStyle w:val="2"/>
      </w:pPr>
      <w:bookmarkStart w:id="11" w:name="_Toc18336"/>
      <w:r>
        <w:t>3</w:t>
      </w:r>
      <w:r>
        <w:rPr>
          <w:rFonts w:hint="eastAsia"/>
        </w:rPr>
        <w:t>　</w:t>
      </w:r>
      <w:r>
        <w:t>术语和定义</w:t>
      </w:r>
      <w:bookmarkEnd w:id="10"/>
      <w:bookmarkEnd w:id="11"/>
    </w:p>
    <w:p w14:paraId="4E5F134C">
      <w:pPr>
        <w:pStyle w:val="12"/>
        <w:spacing w:before="0"/>
        <w:ind w:left="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下列术语和定义适用于本文件。</w:t>
      </w:r>
    </w:p>
    <w:p w14:paraId="16D9D391">
      <w:pPr>
        <w:ind w:firstLine="0" w:firstLineChars="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3.1 污染防控信息</w:t>
      </w:r>
    </w:p>
    <w:p w14:paraId="296942F5">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pollution prevention and control information</w:t>
      </w:r>
    </w:p>
    <w:p w14:paraId="4AB76A8E">
      <w:pPr>
        <w:ind w:firstLine="0" w:firstLineChars="0"/>
        <w:rPr>
          <w:szCs w:val="21"/>
        </w:rPr>
      </w:pPr>
      <w:r>
        <w:rPr>
          <w:rFonts w:hint="eastAsia"/>
          <w:szCs w:val="21"/>
        </w:rPr>
        <w:t>为掌握和评估工业企业土壤污染风险，系统采集的用于识别污染源、评估防控措施有效性、支持土壤污染隐患排查与监管决策的各类数据、资料和记录。</w:t>
      </w:r>
    </w:p>
    <w:p w14:paraId="652679D4">
      <w:pPr>
        <w:widowControl/>
        <w:ind w:firstLine="0" w:firstLineChars="0"/>
        <w:jc w:val="left"/>
        <w:rPr>
          <w:rFonts w:ascii="黑体" w:hAnsi="宋体" w:eastAsia="黑体" w:cs="黑体"/>
          <w:color w:val="000000"/>
          <w:kern w:val="0"/>
          <w:szCs w:val="21"/>
          <w:lang w:bidi="ar"/>
        </w:rPr>
      </w:pPr>
      <w:r>
        <w:rPr>
          <w:rFonts w:hint="eastAsia" w:ascii="黑体" w:hAnsi="黑体" w:eastAsia="黑体"/>
          <w:color w:val="000000" w:themeColor="text1"/>
          <w:szCs w:val="21"/>
          <w14:textFill>
            <w14:solidFill>
              <w14:schemeClr w14:val="tx1"/>
            </w14:solidFill>
          </w14:textFill>
        </w:rPr>
        <w:t xml:space="preserve">3.2 </w:t>
      </w:r>
      <w:r>
        <w:rPr>
          <w:rFonts w:ascii="黑体" w:hAnsi="宋体" w:eastAsia="黑体" w:cs="黑体"/>
          <w:color w:val="000000"/>
          <w:kern w:val="0"/>
          <w:szCs w:val="21"/>
          <w:lang w:bidi="ar"/>
        </w:rPr>
        <w:t>重点场所和重点设施设备</w:t>
      </w:r>
    </w:p>
    <w:p w14:paraId="7D9B1273">
      <w:pPr>
        <w:widowControl/>
        <w:ind w:firstLine="0" w:firstLineChars="0"/>
        <w:jc w:val="left"/>
      </w:pPr>
      <w:r>
        <w:rPr>
          <w:rFonts w:ascii="黑体" w:hAnsi="宋体" w:eastAsia="黑体" w:cs="黑体"/>
          <w:color w:val="000000"/>
          <w:kern w:val="0"/>
          <w:szCs w:val="21"/>
          <w:lang w:bidi="ar"/>
        </w:rPr>
        <w:t xml:space="preserve">key locations and key facilities and equipments </w:t>
      </w:r>
    </w:p>
    <w:p w14:paraId="1AEADB65">
      <w:pPr>
        <w:ind w:firstLine="0" w:firstLineChars="0"/>
        <w:rPr>
          <w:rFonts w:hint="eastAsia"/>
          <w:szCs w:val="21"/>
        </w:rPr>
      </w:pPr>
      <w:r>
        <w:rPr>
          <w:rFonts w:hint="eastAsia"/>
          <w:szCs w:val="21"/>
        </w:rPr>
        <w:t>涉及有毒有害物质生产、使用、贮存、处置的场所和设施设备。重点场所内可能涉及多类重点设施设备。</w:t>
      </w:r>
    </w:p>
    <w:p w14:paraId="48466065">
      <w:pPr>
        <w:ind w:firstLine="0" w:firstLineChars="0"/>
      </w:pPr>
      <w:r>
        <w:rPr>
          <w:rFonts w:hint="eastAsia"/>
          <w:szCs w:val="21"/>
        </w:rPr>
        <w:t>（</w:t>
      </w:r>
      <w:r>
        <w:rPr>
          <w:rFonts w:hint="eastAsia"/>
          <w:szCs w:val="21"/>
          <w:lang w:val="en-US" w:eastAsia="zh-CN"/>
        </w:rPr>
        <w:t>来源：</w:t>
      </w:r>
      <w:r>
        <w:rPr>
          <w:rFonts w:hint="eastAsia" w:ascii="Times New Roman" w:hAnsi="Times New Roman" w:eastAsia="宋体" w:cs="Times New Roman"/>
          <w:sz w:val="21"/>
          <w:szCs w:val="21"/>
        </w:rPr>
        <w:t>生态环境部公告2021年第1号</w:t>
      </w:r>
      <w:r>
        <w:rPr>
          <w:rFonts w:hint="eastAsia"/>
          <w:szCs w:val="21"/>
        </w:rPr>
        <w:t>重点监管单位土壤污染隐患排查指南（试行））</w:t>
      </w:r>
    </w:p>
    <w:p w14:paraId="2CCCF43C">
      <w:pPr>
        <w:ind w:firstLine="0" w:firstLineChars="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3.3 信息采集</w:t>
      </w:r>
    </w:p>
    <w:p w14:paraId="51C643AD">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information collection</w:t>
      </w:r>
    </w:p>
    <w:p w14:paraId="472AC22D">
      <w:pPr>
        <w:ind w:firstLine="0" w:firstLineChars="0"/>
        <w:rPr>
          <w:szCs w:val="21"/>
        </w:rPr>
      </w:pPr>
      <w:r>
        <w:rPr>
          <w:rFonts w:hint="eastAsia"/>
          <w:szCs w:val="21"/>
        </w:rPr>
        <w:t>为掌握工业企业土壤污染防控状况，通过资料收集、现场踏勘、人员访谈等方式，系统性获取、整理和记录相关信息的过程。</w:t>
      </w:r>
    </w:p>
    <w:p w14:paraId="61D4E4CD">
      <w:pPr>
        <w:ind w:firstLine="0" w:firstLineChars="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3.4 企业层面信息</w:t>
      </w:r>
    </w:p>
    <w:p w14:paraId="41844321">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enterprise-level information</w:t>
      </w:r>
    </w:p>
    <w:p w14:paraId="0FA66F36">
      <w:pPr>
        <w:ind w:firstLine="0" w:firstLineChars="0"/>
        <w:rPr>
          <w:szCs w:val="21"/>
        </w:rPr>
      </w:pPr>
      <w:r>
        <w:rPr>
          <w:rFonts w:hint="eastAsia"/>
          <w:szCs w:val="21"/>
        </w:rPr>
        <w:t>从整体视角描述工业企业的基本特征、生产活动与环境管理绩效，用于宏观识别土壤污染潜在风险、界定排查范围的信息。</w:t>
      </w:r>
    </w:p>
    <w:p w14:paraId="6EABC516">
      <w:pPr>
        <w:ind w:firstLine="0" w:firstLineChars="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3.5 设施设备层面信息</w:t>
      </w:r>
    </w:p>
    <w:p w14:paraId="3D2FE1F8">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facility and equipment-level information</w:t>
      </w:r>
    </w:p>
    <w:p w14:paraId="0ED7DA35">
      <w:pPr>
        <w:ind w:firstLine="0" w:firstLineChars="0"/>
        <w:rPr>
          <w:szCs w:val="21"/>
        </w:rPr>
      </w:pPr>
      <w:r>
        <w:rPr>
          <w:rFonts w:hint="eastAsia"/>
          <w:szCs w:val="21"/>
        </w:rPr>
        <w:t>描述工业企业内部可能产生渗漏、流失、扬散的具体场所、设施、设备的详细属性、运行状态、防控措施及其完好性的微观层级信息。</w:t>
      </w:r>
    </w:p>
    <w:p w14:paraId="5D905F98">
      <w:pPr>
        <w:ind w:left="420" w:hanging="420" w:hangingChars="200"/>
        <w:rPr>
          <w:rFonts w:hint="eastAsia"/>
          <w:szCs w:val="21"/>
        </w:rPr>
      </w:pPr>
      <w:r>
        <w:rPr>
          <w:rFonts w:hint="eastAsia" w:ascii="黑体" w:hAnsi="黑体" w:eastAsia="黑体"/>
          <w:color w:val="000000" w:themeColor="text1"/>
          <w:szCs w:val="21"/>
          <w14:textFill>
            <w14:solidFill>
              <w14:schemeClr w14:val="tx1"/>
            </w14:solidFill>
          </w14:textFill>
        </w:rPr>
        <w:t>3.6 有毒有害物质</w:t>
      </w:r>
      <w:r>
        <w:rPr>
          <w:rFonts w:hint="eastAsia" w:ascii="黑体" w:hAnsi="黑体" w:eastAsia="黑体"/>
          <w:color w:val="000000" w:themeColor="text1"/>
          <w:szCs w:val="21"/>
          <w:lang w:val="en-US" w:eastAsia="zh-CN"/>
          <w14:textFill>
            <w14:solidFill>
              <w14:schemeClr w14:val="tx1"/>
            </w14:solidFill>
          </w14:textFill>
        </w:rPr>
        <w:t xml:space="preserve"> </w:t>
      </w:r>
    </w:p>
    <w:p w14:paraId="534A8D42">
      <w:pPr>
        <w:ind w:firstLine="0" w:firstLineChars="0"/>
        <w:rPr>
          <w:rFonts w:hint="eastAsia" w:ascii="黑体" w:hAnsi="黑体" w:eastAsia="黑体" w:cs="Times New Roman"/>
          <w:color w:val="000000" w:themeColor="text1"/>
          <w:sz w:val="21"/>
          <w:szCs w:val="21"/>
          <w14:textFill>
            <w14:solidFill>
              <w14:schemeClr w14:val="tx1"/>
            </w14:solidFill>
          </w14:textFill>
        </w:rPr>
      </w:pPr>
      <w:r>
        <w:rPr>
          <w:rFonts w:hint="eastAsia" w:ascii="黑体" w:hAnsi="黑体" w:eastAsia="黑体" w:cs="Times New Roman"/>
          <w:color w:val="000000" w:themeColor="text1"/>
          <w:sz w:val="21"/>
          <w:szCs w:val="21"/>
          <w14:textFill>
            <w14:solidFill>
              <w14:schemeClr w14:val="tx1"/>
            </w14:solidFill>
          </w14:textFill>
        </w:rPr>
        <w:t>toxic and harmful substances</w:t>
      </w:r>
    </w:p>
    <w:p w14:paraId="5AE09D9A">
      <w:pPr>
        <w:ind w:left="420" w:hanging="420" w:hangingChars="200"/>
        <w:rPr>
          <w:rFonts w:hint="eastAsia"/>
          <w:szCs w:val="21"/>
        </w:rPr>
      </w:pPr>
      <w:r>
        <w:rPr>
          <w:rFonts w:hint="eastAsia"/>
          <w:szCs w:val="21"/>
        </w:rPr>
        <w:t>可能对土壤环境造成污染的物质，包括危险化学品、放射源、有害物质、爆炸品等。</w:t>
      </w:r>
    </w:p>
    <w:p w14:paraId="155B7EB1">
      <w:pPr>
        <w:ind w:firstLine="0" w:firstLineChars="0"/>
        <w:rPr>
          <w:szCs w:val="21"/>
        </w:rPr>
      </w:pPr>
      <w:r>
        <w:rPr>
          <w:rFonts w:hint="eastAsia"/>
          <w:szCs w:val="21"/>
        </w:rPr>
        <w:t>（</w:t>
      </w:r>
      <w:r>
        <w:rPr>
          <w:rFonts w:hint="eastAsia"/>
          <w:szCs w:val="21"/>
          <w:lang w:val="en-US" w:eastAsia="zh-CN"/>
        </w:rPr>
        <w:t>来源：</w:t>
      </w:r>
      <w:r>
        <w:rPr>
          <w:rFonts w:hint="eastAsia" w:ascii="Times New Roman" w:hAnsi="Times New Roman" w:eastAsia="宋体" w:cs="Times New Roman"/>
          <w:sz w:val="21"/>
          <w:szCs w:val="21"/>
        </w:rPr>
        <w:t>生态环境部公告2021年第1号</w:t>
      </w:r>
      <w:r>
        <w:rPr>
          <w:rFonts w:hint="eastAsia"/>
          <w:szCs w:val="21"/>
        </w:rPr>
        <w:t>重点监管单位土壤污染隐患排查指南（试行））</w:t>
      </w:r>
    </w:p>
    <w:p w14:paraId="35F90EA7">
      <w:pPr>
        <w:pStyle w:val="2"/>
      </w:pPr>
      <w:bookmarkStart w:id="12" w:name="_Toc4214"/>
      <w:r>
        <w:rPr>
          <w:rFonts w:hint="eastAsia"/>
        </w:rPr>
        <w:t>4　基本原则</w:t>
      </w:r>
      <w:bookmarkEnd w:id="12"/>
    </w:p>
    <w:p w14:paraId="7D448538">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4.1</w:t>
      </w:r>
      <w:r>
        <w:rPr>
          <w:rFonts w:hint="eastAsia" w:ascii="黑体" w:hAnsi="黑体" w:eastAsia="黑体"/>
          <w:color w:val="000000" w:themeColor="text1"/>
          <w:szCs w:val="21"/>
          <w:lang w:val="en-US" w:eastAsia="zh-CN"/>
          <w14:textFill>
            <w14:solidFill>
              <w14:schemeClr w14:val="tx1"/>
            </w14:solidFill>
          </w14:textFill>
        </w:rPr>
        <w:t xml:space="preserve"> </w:t>
      </w:r>
      <w:r>
        <w:rPr>
          <w:rFonts w:hint="eastAsia" w:ascii="黑体" w:hAnsi="黑体" w:eastAsia="黑体"/>
          <w:color w:val="000000" w:themeColor="text1"/>
          <w:szCs w:val="21"/>
          <w14:textFill>
            <w14:solidFill>
              <w14:schemeClr w14:val="tx1"/>
            </w14:solidFill>
          </w14:textFill>
        </w:rPr>
        <w:t>针对性原则</w:t>
      </w:r>
    </w:p>
    <w:p w14:paraId="6EACDEF3">
      <w:r>
        <w:rPr>
          <w:rFonts w:hint="eastAsia"/>
        </w:rPr>
        <w:t>针对工业企业开展，聚焦土壤污染相关信息，采集技术与采集内容相匹配，精准识别企业土壤污染潜在风险。</w:t>
      </w:r>
    </w:p>
    <w:p w14:paraId="689179A5">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4.2 规范性原则</w:t>
      </w:r>
    </w:p>
    <w:p w14:paraId="731FA3FA">
      <w:r>
        <w:t>采用资料收集及甄别、现场踏勘及人员访谈，系统性、规范性开展信息快速采集，</w:t>
      </w:r>
      <w:r>
        <w:rPr>
          <w:rFonts w:hint="eastAsia"/>
        </w:rPr>
        <w:t>确保采集程序、方式及信息表征的科学性和客观性，统一信息采集格式要求。</w:t>
      </w:r>
    </w:p>
    <w:p w14:paraId="394149B4">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4.3 可操作性原则</w:t>
      </w:r>
    </w:p>
    <w:p w14:paraId="3130BEA2">
      <w:r>
        <w:t>综合考虑方法、时间、经济等因素，结合当前科技发展和专业技术水平，保障信息快速采集过程切实可行</w:t>
      </w:r>
      <w:r>
        <w:rPr>
          <w:rFonts w:hint="eastAsia"/>
        </w:rPr>
        <w:t>；推动信息收集精细化、数据化，应用信息化、智慧化采集技术，确保技术与企业信息化水平相适配，体现技术先进性。</w:t>
      </w:r>
    </w:p>
    <w:p w14:paraId="51A4E927">
      <w:pPr>
        <w:pStyle w:val="2"/>
        <w:numPr>
          <w:ilvl w:val="0"/>
          <w:numId w:val="1"/>
        </w:numPr>
      </w:pPr>
      <w:bookmarkStart w:id="13" w:name="_Toc17282"/>
      <w:r>
        <w:rPr>
          <w:rFonts w:hint="eastAsia"/>
        </w:rPr>
        <w:t>采集程序</w:t>
      </w:r>
      <w:bookmarkEnd w:id="13"/>
    </w:p>
    <w:p w14:paraId="791A2B9A">
      <w:pPr>
        <w:rPr>
          <w:rFonts w:hint="eastAsia" w:eastAsia="宋体"/>
          <w:lang w:eastAsia="zh-CN"/>
        </w:rPr>
      </w:pPr>
      <w:r>
        <w:rPr>
          <w:rFonts w:hint="eastAsia"/>
        </w:rPr>
        <w:t>信息采集工作程序包括以下阶段：一阶段：信息采集准备（包括信息采集的物理边界与内容边界、人员组织、资料预收集）；二阶段：信息采集实施（包括资料收集、现场踏勘、人员访谈）；三阶段：信息整理与分析（包括数据整合、风险识别、报告编制）；四阶段：质量控制与更新维护（包括质量检查、信息更新、系统上传）。具体流程见图1</w:t>
      </w:r>
      <w:r>
        <w:rPr>
          <w:rFonts w:hint="eastAsia"/>
          <w:lang w:eastAsia="zh-CN"/>
        </w:rPr>
        <w:t>。</w:t>
      </w:r>
    </w:p>
    <w:p w14:paraId="1D2BBBE9">
      <w:pPr>
        <w:ind w:firstLine="0" w:firstLineChars="0"/>
        <w:jc w:val="center"/>
      </w:pPr>
      <w:r>
        <w:drawing>
          <wp:inline distT="0" distB="0" distL="114300" distR="114300">
            <wp:extent cx="2002155" cy="4319905"/>
            <wp:effectExtent l="0" t="0" r="3810" b="5715"/>
            <wp:docPr id="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
                    <pic:cNvPicPr>
                      <a:picLocks noChangeAspect="1"/>
                    </pic:cNvPicPr>
                  </pic:nvPicPr>
                  <pic:blipFill>
                    <a:blip r:embed="rId13"/>
                    <a:stretch>
                      <a:fillRect/>
                    </a:stretch>
                  </pic:blipFill>
                  <pic:spPr>
                    <a:xfrm>
                      <a:off x="0" y="0"/>
                      <a:ext cx="2002155" cy="4319905"/>
                    </a:xfrm>
                    <a:prstGeom prst="rect">
                      <a:avLst/>
                    </a:prstGeom>
                    <a:noFill/>
                    <a:ln>
                      <a:noFill/>
                    </a:ln>
                  </pic:spPr>
                </pic:pic>
              </a:graphicData>
            </a:graphic>
          </wp:inline>
        </w:drawing>
      </w:r>
    </w:p>
    <w:p w14:paraId="611CF462">
      <w:pPr>
        <w:pStyle w:val="9"/>
        <w:ind w:firstLine="0" w:firstLineChars="0"/>
        <w:jc w:val="center"/>
      </w:pPr>
      <w:r>
        <w:t>图</w:t>
      </w:r>
      <w:r>
        <w:fldChar w:fldCharType="begin"/>
      </w:r>
      <w:r>
        <w:instrText xml:space="preserve"> SEQ 图 \* ARABIC </w:instrText>
      </w:r>
      <w:r>
        <w:fldChar w:fldCharType="separate"/>
      </w:r>
      <w:r>
        <w:t>1</w:t>
      </w:r>
      <w:r>
        <w:fldChar w:fldCharType="end"/>
      </w:r>
      <w:r>
        <w:rPr>
          <w:rFonts w:hint="eastAsia"/>
          <w:lang w:val="en-US" w:eastAsia="zh-CN"/>
        </w:rPr>
        <w:t xml:space="preserve"> </w:t>
      </w:r>
      <w:r>
        <w:rPr>
          <w:rFonts w:hint="eastAsia"/>
        </w:rPr>
        <w:t>工作程序</w:t>
      </w:r>
    </w:p>
    <w:p w14:paraId="0ED2585A">
      <w:pPr>
        <w:pStyle w:val="2"/>
        <w:numPr>
          <w:ilvl w:val="0"/>
          <w:numId w:val="1"/>
        </w:numPr>
      </w:pPr>
      <w:bookmarkStart w:id="14" w:name="_Toc15458"/>
      <w:r>
        <w:rPr>
          <w:rFonts w:hint="eastAsia"/>
        </w:rPr>
        <w:t>信息采集内容</w:t>
      </w:r>
      <w:bookmarkEnd w:id="14"/>
    </w:p>
    <w:p w14:paraId="4F23ADE9">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6.1企业信息</w:t>
      </w:r>
    </w:p>
    <w:p w14:paraId="0E7B9D1A">
      <w:pPr>
        <w:ind w:firstLine="0" w:firstLineChars="0"/>
      </w:pPr>
      <w:r>
        <w:rPr>
          <w:rFonts w:hint="eastAsia"/>
        </w:rPr>
        <w:t>6.1.1基本信息</w:t>
      </w:r>
    </w:p>
    <w:p w14:paraId="388DB6FF">
      <w:r>
        <w:rPr>
          <w:rFonts w:hint="eastAsia"/>
        </w:rPr>
        <w:t>企业基本信息至少应包括：</w:t>
      </w:r>
    </w:p>
    <w:p w14:paraId="36969B8F">
      <w:pPr>
        <w:adjustRightInd w:val="0"/>
        <w:snapToGrid w:val="0"/>
        <w:ind w:left="420" w:leftChars="200" w:firstLine="0" w:firstLineChars="0"/>
      </w:pPr>
      <w:r>
        <w:rPr>
          <w:rFonts w:hint="eastAsia"/>
        </w:rPr>
        <w:t>a)</w:t>
      </w:r>
      <w:r>
        <w:rPr>
          <w:rFonts w:hint="eastAsia"/>
          <w:lang w:val="en-US" w:eastAsia="zh-CN"/>
        </w:rPr>
        <w:t xml:space="preserve"> </w:t>
      </w:r>
      <w:r>
        <w:rPr>
          <w:rFonts w:hint="eastAsia"/>
        </w:rPr>
        <w:t>企业名称;</w:t>
      </w:r>
    </w:p>
    <w:p w14:paraId="17FFF53B">
      <w:pPr>
        <w:adjustRightInd w:val="0"/>
        <w:snapToGrid w:val="0"/>
        <w:ind w:left="420" w:leftChars="200" w:firstLine="0" w:firstLineChars="0"/>
      </w:pPr>
      <w:r>
        <w:rPr>
          <w:rFonts w:hint="eastAsia"/>
        </w:rPr>
        <w:t>b</w:t>
      </w:r>
      <w:r>
        <w:t>)</w:t>
      </w:r>
      <w:r>
        <w:rPr>
          <w:rFonts w:hint="eastAsia"/>
          <w:lang w:val="en-US" w:eastAsia="zh-CN"/>
        </w:rPr>
        <w:t xml:space="preserve"> </w:t>
      </w:r>
      <w:r>
        <w:rPr>
          <w:rFonts w:hint="eastAsia"/>
        </w:rPr>
        <w:t>统一社会信用代码;</w:t>
      </w:r>
    </w:p>
    <w:p w14:paraId="79FBEA4A">
      <w:pPr>
        <w:adjustRightInd w:val="0"/>
        <w:snapToGrid w:val="0"/>
        <w:ind w:left="420" w:leftChars="200" w:firstLine="0" w:firstLineChars="0"/>
      </w:pPr>
      <w:r>
        <w:rPr>
          <w:rFonts w:hint="eastAsia"/>
        </w:rPr>
        <w:t>c)</w:t>
      </w:r>
      <w:r>
        <w:rPr>
          <w:rFonts w:hint="eastAsia"/>
          <w:lang w:val="en-US" w:eastAsia="zh-CN"/>
        </w:rPr>
        <w:t xml:space="preserve"> </w:t>
      </w:r>
      <w:r>
        <w:rPr>
          <w:rFonts w:hint="eastAsia"/>
        </w:rPr>
        <w:t>法定代表人;</w:t>
      </w:r>
    </w:p>
    <w:p w14:paraId="00737B46">
      <w:pPr>
        <w:adjustRightInd w:val="0"/>
        <w:snapToGrid w:val="0"/>
        <w:ind w:left="420" w:leftChars="200" w:firstLine="0" w:firstLineChars="0"/>
      </w:pPr>
      <w:r>
        <w:rPr>
          <w:rFonts w:hint="eastAsia"/>
        </w:rPr>
        <w:t>d)</w:t>
      </w:r>
      <w:r>
        <w:rPr>
          <w:rFonts w:hint="eastAsia"/>
          <w:lang w:val="en-US" w:eastAsia="zh-CN"/>
        </w:rPr>
        <w:t xml:space="preserve"> </w:t>
      </w:r>
      <w:r>
        <w:rPr>
          <w:rFonts w:hint="eastAsia"/>
        </w:rPr>
        <w:t>企业生产经营地址;</w:t>
      </w:r>
    </w:p>
    <w:p w14:paraId="7E679B34">
      <w:pPr>
        <w:adjustRightInd w:val="0"/>
        <w:snapToGrid w:val="0"/>
        <w:ind w:left="420" w:leftChars="200" w:firstLine="0" w:firstLineChars="0"/>
      </w:pPr>
      <w:r>
        <w:rPr>
          <w:rFonts w:hint="eastAsia"/>
        </w:rPr>
        <w:t>e)</w:t>
      </w:r>
      <w:r>
        <w:rPr>
          <w:rFonts w:hint="eastAsia"/>
          <w:lang w:val="en-US" w:eastAsia="zh-CN"/>
        </w:rPr>
        <w:t xml:space="preserve"> </w:t>
      </w:r>
      <w:r>
        <w:rPr>
          <w:rFonts w:hint="eastAsia"/>
        </w:rPr>
        <w:t>企业正门地理坐标;</w:t>
      </w:r>
    </w:p>
    <w:p w14:paraId="740B85B5">
      <w:pPr>
        <w:adjustRightInd w:val="0"/>
        <w:snapToGrid w:val="0"/>
        <w:ind w:left="420" w:leftChars="200" w:firstLine="0" w:firstLineChars="0"/>
      </w:pPr>
      <w:r>
        <w:rPr>
          <w:rFonts w:hint="eastAsia"/>
        </w:rPr>
        <w:t>f)</w:t>
      </w:r>
      <w:r>
        <w:rPr>
          <w:rFonts w:hint="eastAsia"/>
          <w:lang w:val="en-US" w:eastAsia="zh-CN"/>
        </w:rPr>
        <w:t xml:space="preserve"> </w:t>
      </w:r>
      <w:r>
        <w:rPr>
          <w:rFonts w:hint="eastAsia"/>
        </w:rPr>
        <w:t>占地面积;</w:t>
      </w:r>
    </w:p>
    <w:p w14:paraId="40851B3B">
      <w:pPr>
        <w:adjustRightInd w:val="0"/>
        <w:snapToGrid w:val="0"/>
        <w:ind w:left="420" w:leftChars="200" w:firstLine="0" w:firstLineChars="0"/>
      </w:pPr>
      <w:r>
        <w:rPr>
          <w:rFonts w:hint="eastAsia"/>
        </w:rPr>
        <w:t>g)</w:t>
      </w:r>
      <w:r>
        <w:rPr>
          <w:rFonts w:hint="eastAsia"/>
          <w:lang w:val="en-US" w:eastAsia="zh-CN"/>
        </w:rPr>
        <w:t xml:space="preserve"> </w:t>
      </w:r>
      <w:r>
        <w:rPr>
          <w:rFonts w:hint="eastAsia"/>
        </w:rPr>
        <w:t>行业类别;</w:t>
      </w:r>
    </w:p>
    <w:p w14:paraId="27CF4BC4">
      <w:pPr>
        <w:adjustRightInd w:val="0"/>
        <w:snapToGrid w:val="0"/>
        <w:ind w:left="420" w:leftChars="200" w:firstLine="0" w:firstLineChars="0"/>
      </w:pPr>
      <w:r>
        <w:rPr>
          <w:rFonts w:hint="eastAsia"/>
        </w:rPr>
        <w:t>h)</w:t>
      </w:r>
      <w:r>
        <w:rPr>
          <w:rFonts w:hint="eastAsia"/>
          <w:lang w:val="en-US" w:eastAsia="zh-CN"/>
        </w:rPr>
        <w:t xml:space="preserve"> </w:t>
      </w:r>
      <w:r>
        <w:rPr>
          <w:rFonts w:hint="eastAsia"/>
        </w:rPr>
        <w:t>企业规模;</w:t>
      </w:r>
    </w:p>
    <w:p w14:paraId="28BB193B">
      <w:pPr>
        <w:adjustRightInd w:val="0"/>
        <w:snapToGrid w:val="0"/>
        <w:ind w:left="420" w:leftChars="200" w:firstLine="0" w:firstLineChars="0"/>
      </w:pPr>
      <w:r>
        <w:rPr>
          <w:rFonts w:hint="eastAsia"/>
        </w:rPr>
        <w:t>i)</w:t>
      </w:r>
      <w:r>
        <w:rPr>
          <w:rFonts w:hint="eastAsia"/>
          <w:lang w:val="en-US" w:eastAsia="zh-CN"/>
        </w:rPr>
        <w:t xml:space="preserve"> </w:t>
      </w:r>
      <w:r>
        <w:rPr>
          <w:rFonts w:hint="eastAsia"/>
        </w:rPr>
        <w:t>成立时间;</w:t>
      </w:r>
    </w:p>
    <w:p w14:paraId="35E7967E">
      <w:pPr>
        <w:adjustRightInd w:val="0"/>
        <w:snapToGrid w:val="0"/>
        <w:ind w:left="420" w:leftChars="200" w:firstLine="0" w:firstLineChars="0"/>
      </w:pPr>
      <w:r>
        <w:rPr>
          <w:rFonts w:hint="eastAsia"/>
        </w:rPr>
        <w:t>j)</w:t>
      </w:r>
      <w:r>
        <w:rPr>
          <w:rFonts w:hint="eastAsia"/>
          <w:lang w:val="en-US" w:eastAsia="zh-CN"/>
        </w:rPr>
        <w:t xml:space="preserve"> </w:t>
      </w:r>
      <w:r>
        <w:rPr>
          <w:rFonts w:hint="eastAsia"/>
        </w:rPr>
        <w:t>所在区域自然环境要素信息。</w:t>
      </w:r>
    </w:p>
    <w:p w14:paraId="348237C5">
      <w:pPr>
        <w:adjustRightInd w:val="0"/>
        <w:snapToGrid w:val="0"/>
        <w:ind w:left="420" w:leftChars="200" w:firstLine="0" w:firstLineChars="0"/>
      </w:pPr>
      <w:r>
        <w:rPr>
          <w:rFonts w:hint="eastAsia"/>
        </w:rPr>
        <w:t>企业基本信息收集表见附录A。</w:t>
      </w:r>
    </w:p>
    <w:p w14:paraId="57D2B18F">
      <w:pPr>
        <w:ind w:firstLine="0" w:firstLineChars="0"/>
      </w:pPr>
      <w:r>
        <w:rPr>
          <w:rFonts w:hint="eastAsia"/>
        </w:rPr>
        <w:t>6.1.2生产信息</w:t>
      </w:r>
    </w:p>
    <w:p w14:paraId="04BC07F2">
      <w:r>
        <w:rPr>
          <w:rFonts w:hint="eastAsia"/>
        </w:rPr>
        <w:t>应采集企业的生产信息包括但不限于：</w:t>
      </w:r>
    </w:p>
    <w:p w14:paraId="14CC1C44">
      <w:pPr>
        <w:numPr>
          <w:ilvl w:val="0"/>
          <w:numId w:val="2"/>
        </w:numPr>
      </w:pPr>
      <w:r>
        <w:rPr>
          <w:rFonts w:hint="eastAsia"/>
        </w:rPr>
        <w:t>企业生产工艺流程，含原料投入、工艺环节、产品产出全流程；</w:t>
      </w:r>
    </w:p>
    <w:p w14:paraId="6626C749">
      <w:pPr>
        <w:numPr>
          <w:ilvl w:val="0"/>
          <w:numId w:val="2"/>
        </w:numPr>
      </w:pPr>
      <w:r>
        <w:rPr>
          <w:rFonts w:hint="eastAsia"/>
        </w:rPr>
        <w:t>化学品信息，明确原料、中间产物、产品中的化学品名录（参照化学品分类名录），重点采集有毒有害物质生产、使用、转运、储存、应急处置等情况；</w:t>
      </w:r>
    </w:p>
    <w:p w14:paraId="446FBFBA">
      <w:pPr>
        <w:numPr>
          <w:ilvl w:val="0"/>
          <w:numId w:val="2"/>
        </w:numPr>
      </w:pPr>
      <w:r>
        <w:rPr>
          <w:rFonts w:hint="eastAsia"/>
        </w:rPr>
        <w:t>企业安全生产情况；</w:t>
      </w:r>
    </w:p>
    <w:p w14:paraId="635DDA8D">
      <w:pPr>
        <w:numPr>
          <w:ilvl w:val="0"/>
          <w:numId w:val="2"/>
        </w:numPr>
      </w:pPr>
      <w:r>
        <w:rPr>
          <w:rFonts w:hint="eastAsia"/>
        </w:rPr>
        <w:t>生产方式（连续性/间歇性）；</w:t>
      </w:r>
    </w:p>
    <w:p w14:paraId="3222D879">
      <w:pPr>
        <w:numPr>
          <w:ilvl w:val="0"/>
          <w:numId w:val="2"/>
        </w:numPr>
      </w:pPr>
      <w:r>
        <w:rPr>
          <w:rFonts w:hint="eastAsia"/>
        </w:rPr>
        <w:t>用电、用能、用水情况；</w:t>
      </w:r>
    </w:p>
    <w:p w14:paraId="4B08751C">
      <w:pPr>
        <w:numPr>
          <w:ilvl w:val="0"/>
          <w:numId w:val="2"/>
        </w:numPr>
      </w:pPr>
      <w:r>
        <w:rPr>
          <w:rFonts w:hint="eastAsia"/>
        </w:rPr>
        <w:t>工业固废、危险废物产生量及堆存位置信息；</w:t>
      </w:r>
    </w:p>
    <w:p w14:paraId="1197B5D4">
      <w:pPr>
        <w:numPr>
          <w:ilvl w:val="0"/>
          <w:numId w:val="2"/>
        </w:numPr>
      </w:pPr>
      <w:r>
        <w:rPr>
          <w:rFonts w:hint="eastAsia"/>
        </w:rPr>
        <w:t>生产设施运行监控参数。</w:t>
      </w:r>
    </w:p>
    <w:p w14:paraId="58F4FEC7">
      <w:pPr>
        <w:ind w:firstLine="0" w:firstLineChars="0"/>
      </w:pPr>
      <w:r>
        <w:rPr>
          <w:rFonts w:hint="eastAsia"/>
        </w:rPr>
        <w:t>6.1.3环境管理信息</w:t>
      </w:r>
    </w:p>
    <w:p w14:paraId="4DA081DC">
      <w:r>
        <w:t>应采集企业环境管理信息包括但不限于：</w:t>
      </w:r>
    </w:p>
    <w:p w14:paraId="043F6DD1">
      <w:pPr>
        <w:numPr>
          <w:ilvl w:val="0"/>
          <w:numId w:val="3"/>
        </w:numPr>
      </w:pPr>
      <w:r>
        <w:t>建设项目环境影响评价、竣工环保验收、清洁生产、排污许可和执行情况、环境审计、突发环境事件风险评估、应急预案等；</w:t>
      </w:r>
    </w:p>
    <w:p w14:paraId="208B8866">
      <w:pPr>
        <w:numPr>
          <w:ilvl w:val="0"/>
          <w:numId w:val="3"/>
        </w:numPr>
      </w:pPr>
      <w:r>
        <w:t>废气、废水收集、输送、处理及排放情况，包括相关设施设备防渗漏、流失、扬散设计和建设信息，相关管理制度和台账；</w:t>
      </w:r>
    </w:p>
    <w:p w14:paraId="0F5EF407">
      <w:pPr>
        <w:numPr>
          <w:ilvl w:val="0"/>
          <w:numId w:val="3"/>
        </w:numPr>
      </w:pPr>
      <w:r>
        <w:t>大气监测数据、初期雨水排口监测数据；</w:t>
      </w:r>
    </w:p>
    <w:p w14:paraId="7E870BF0">
      <w:pPr>
        <w:numPr>
          <w:ilvl w:val="0"/>
          <w:numId w:val="3"/>
        </w:numPr>
      </w:pPr>
      <w:r>
        <w:t>土壤及地下水自行监测、环境调查监测情况、历史污染记录；</w:t>
      </w:r>
    </w:p>
    <w:p w14:paraId="4DF716C7">
      <w:pPr>
        <w:numPr>
          <w:ilvl w:val="0"/>
          <w:numId w:val="3"/>
        </w:numPr>
      </w:pPr>
      <w:r>
        <w:t>固体废物和危险废物产生、贮存、利用和处理处置等情况；</w:t>
      </w:r>
    </w:p>
    <w:p w14:paraId="4E34C072">
      <w:pPr>
        <w:numPr>
          <w:ilvl w:val="0"/>
          <w:numId w:val="3"/>
        </w:numPr>
      </w:pPr>
      <w:r>
        <w:t>已有的隐患排查记录及整改验收情况等。</w:t>
      </w:r>
    </w:p>
    <w:p w14:paraId="4F90A4ED">
      <w:pPr>
        <w:ind w:firstLine="0" w:firstLineChars="0"/>
      </w:pPr>
      <w:r>
        <w:rPr>
          <w:rFonts w:hint="eastAsia"/>
        </w:rPr>
        <w:t>6.1.4周边环境监测信息</w:t>
      </w:r>
    </w:p>
    <w:p w14:paraId="25CC120B">
      <w:pPr>
        <w:numPr>
          <w:ilvl w:val="255"/>
          <w:numId w:val="0"/>
        </w:numPr>
      </w:pPr>
      <w:r>
        <w:t>应采集企业对厂区周边土壤、大气、地表水的自行监测数据，包括监测点位、监测因子、监测频次、监测结果等；采集企业废气、扬尘对周边环境影响的监测数据。</w:t>
      </w:r>
    </w:p>
    <w:p w14:paraId="6642BE12">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6.2重点场所和重点设施设备信息</w:t>
      </w:r>
    </w:p>
    <w:p w14:paraId="3550C03D">
      <w:pPr>
        <w:ind w:firstLine="0" w:firstLineChars="0"/>
      </w:pPr>
      <w:r>
        <w:rPr>
          <w:rFonts w:hint="eastAsia"/>
        </w:rPr>
        <w:t>6.2.1生产及储运区</w:t>
      </w:r>
    </w:p>
    <w:p w14:paraId="3E004CA0">
      <w:r>
        <w:rPr>
          <w:rFonts w:hint="eastAsia"/>
        </w:rPr>
        <w:t>生产区、液体储存区、液体运输区和货物储存、装卸区，</w:t>
      </w:r>
      <w:r>
        <w:t>应采集的信息包括但不限于</w:t>
      </w:r>
      <w:r>
        <w:rPr>
          <w:rFonts w:hint="eastAsia"/>
        </w:rPr>
        <w:t>：</w:t>
      </w:r>
    </w:p>
    <w:p w14:paraId="7CEDA0F7">
      <w:pPr>
        <w:widowControl/>
        <w:numPr>
          <w:ilvl w:val="0"/>
          <w:numId w:val="4"/>
        </w:numPr>
        <w:jc w:val="left"/>
        <w:rPr>
          <w:lang w:bidi="ar"/>
        </w:rPr>
      </w:pPr>
      <w:r>
        <w:rPr>
          <w:rFonts w:hint="eastAsia"/>
          <w:lang w:bidi="ar"/>
        </w:rPr>
        <w:t>区域环境管理负责人及相关岗位操作人员的姓名、联系方式等基本信息；人员接受工艺操作、设备维护及泄漏应急处理的培训记录及培训内容。</w:t>
      </w:r>
    </w:p>
    <w:p w14:paraId="645F10AD">
      <w:pPr>
        <w:widowControl/>
        <w:numPr>
          <w:ilvl w:val="0"/>
          <w:numId w:val="4"/>
        </w:numPr>
        <w:jc w:val="left"/>
      </w:pPr>
      <w:r>
        <w:rPr>
          <w:rFonts w:hint="eastAsia"/>
          <w:lang w:bidi="ar"/>
        </w:rPr>
        <w:t>关键生产设备、储运设施的清单及核心技术参数；涉及物料的名称、危险特性及最大在线量；地面防渗层、围堰、地沟等污染防控设施的完好性状态。</w:t>
      </w:r>
    </w:p>
    <w:p w14:paraId="029BFDB5">
      <w:pPr>
        <w:widowControl/>
        <w:numPr>
          <w:ilvl w:val="0"/>
          <w:numId w:val="4"/>
        </w:numPr>
        <w:jc w:val="left"/>
      </w:pPr>
      <w:r>
        <w:rPr>
          <w:rFonts w:hint="eastAsia"/>
          <w:lang w:bidi="ar"/>
        </w:rPr>
        <w:t>设备与管线的日常巡检记录、预防性维护记录，明确巡检周期、最近维护日期；设备与管线泄漏处置记录，明确泄漏事件处理情况及最近处置日期。</w:t>
      </w:r>
    </w:p>
    <w:p w14:paraId="730319A4">
      <w:pPr>
        <w:widowControl/>
        <w:jc w:val="left"/>
      </w:pPr>
      <w:r>
        <w:rPr>
          <w:rFonts w:hint="eastAsia"/>
          <w:lang w:bidi="ar"/>
        </w:rPr>
        <w:t>生产及储运区信息收集表见附录 B。</w:t>
      </w:r>
    </w:p>
    <w:p w14:paraId="116F85E5">
      <w:pPr>
        <w:ind w:firstLine="0" w:firstLineChars="0"/>
      </w:pPr>
      <w:r>
        <w:rPr>
          <w:rFonts w:hint="eastAsia"/>
        </w:rPr>
        <w:t>6.2.2废水处理区</w:t>
      </w:r>
    </w:p>
    <w:p w14:paraId="5402A296">
      <w:r>
        <w:rPr>
          <w:rFonts w:hint="eastAsia"/>
        </w:rPr>
        <w:t>针对废水站内的收集池、处理池、应急池等，应采集的信息包括但不限于：</w:t>
      </w:r>
    </w:p>
    <w:p w14:paraId="5D920FD8">
      <w:pPr>
        <w:numPr>
          <w:ilvl w:val="255"/>
          <w:numId w:val="0"/>
        </w:numPr>
      </w:pPr>
      <w:r>
        <w:rPr>
          <w:rFonts w:hint="eastAsia"/>
        </w:rPr>
        <w:t>a) 废水站运营负责人及操作人员信息；人员接受工艺操作与设备管理的培训记录。</w:t>
      </w:r>
    </w:p>
    <w:p w14:paraId="51F2045D">
      <w:pPr>
        <w:numPr>
          <w:ilvl w:val="255"/>
          <w:numId w:val="0"/>
        </w:numPr>
      </w:pPr>
      <w:r>
        <w:rPr>
          <w:rFonts w:hint="eastAsia"/>
        </w:rPr>
        <w:t>b) 各类水池的编号、容积、结构及材质；处理废水的特征污染物清单；池体及区域地面的防渗完好性。</w:t>
      </w:r>
    </w:p>
    <w:p w14:paraId="27FEC233">
      <w:pPr>
        <w:numPr>
          <w:ilvl w:val="255"/>
          <w:numId w:val="0"/>
        </w:numPr>
      </w:pPr>
      <w:r>
        <w:rPr>
          <w:rFonts w:hint="eastAsia"/>
        </w:rPr>
        <w:t>c) 水池液位、设备运行及区域地面的日常巡检记录；水池完整性检测（如满水试验）报告。</w:t>
      </w:r>
    </w:p>
    <w:p w14:paraId="5440873F">
      <w:r>
        <w:rPr>
          <w:rFonts w:hint="eastAsia"/>
        </w:rPr>
        <w:t>废水处理区信息收集见附录C。</w:t>
      </w:r>
    </w:p>
    <w:p w14:paraId="1D3E3F9B">
      <w:pPr>
        <w:ind w:firstLine="0" w:firstLineChars="0"/>
      </w:pPr>
      <w:r>
        <w:rPr>
          <w:rFonts w:hint="eastAsia"/>
        </w:rPr>
        <w:t>6.2.3固体废物贮存区</w:t>
      </w:r>
    </w:p>
    <w:p w14:paraId="1EFF9DC6">
      <w:r>
        <w:rPr>
          <w:rFonts w:hint="eastAsia"/>
        </w:rPr>
        <w:t>针对危险废物贮存库、一般工业固体废物贮存场，应采集的信息包括但不限于：</w:t>
      </w:r>
    </w:p>
    <w:p w14:paraId="75B4B1AB">
      <w:pPr>
        <w:numPr>
          <w:ilvl w:val="0"/>
          <w:numId w:val="5"/>
        </w:numPr>
      </w:pPr>
      <w:r>
        <w:rPr>
          <w:rFonts w:hint="eastAsia"/>
        </w:rPr>
        <w:t>固废仓库管理员信息；人员接受废物特性识别与分类贮存的培训记录。</w:t>
      </w:r>
    </w:p>
    <w:p w14:paraId="36F217E6">
      <w:pPr>
        <w:numPr>
          <w:ilvl w:val="0"/>
          <w:numId w:val="5"/>
        </w:numPr>
      </w:pPr>
      <w:r>
        <w:rPr>
          <w:rFonts w:hint="eastAsia"/>
        </w:rPr>
        <w:t>危险废物（重点）及一般工业固体废物的名称、类别、危险特性、产生量及贮存量；贮存设施“三防”（防渗漏、防雨淋、防流失）措施的完好性；粉体类固体废物堆存的扬尘防治措施配备情况、完好性及扬尘监测数据。</w:t>
      </w:r>
    </w:p>
    <w:p w14:paraId="067B67E2">
      <w:pPr>
        <w:numPr>
          <w:ilvl w:val="0"/>
          <w:numId w:val="5"/>
        </w:numPr>
      </w:pPr>
      <w:r>
        <w:rPr>
          <w:rFonts w:hint="eastAsia"/>
        </w:rPr>
        <w:t>废物包装、贮存设施及防护措施的日常巡检记录；固体废物管理台账及转移联单。</w:t>
      </w:r>
    </w:p>
    <w:p w14:paraId="5070A04D">
      <w:r>
        <w:rPr>
          <w:rFonts w:hint="eastAsia"/>
        </w:rPr>
        <w:t>固体废物贮存区信息收集见附录D。</w:t>
      </w:r>
    </w:p>
    <w:p w14:paraId="13860BF6">
      <w:pPr>
        <w:ind w:firstLine="0" w:firstLineChars="0"/>
      </w:pPr>
      <w:r>
        <w:rPr>
          <w:rFonts w:hint="eastAsia"/>
        </w:rPr>
        <w:t>6.2.4其他活动区</w:t>
      </w:r>
    </w:p>
    <w:p w14:paraId="41046463">
      <w:pPr>
        <w:ind w:left="420" w:leftChars="200" w:firstLine="0" w:firstLineChars="0"/>
      </w:pPr>
      <w:r>
        <w:rPr>
          <w:rFonts w:hint="eastAsia"/>
        </w:rPr>
        <w:t>针对分析化学实验室、维修车间等其他活动区，应采集的信息包括但不限于：</w:t>
      </w:r>
      <w:r>
        <w:br w:type="textWrapping"/>
      </w:r>
      <w:r>
        <w:rPr>
          <w:rFonts w:hint="eastAsia"/>
          <w:lang w:val="en-US" w:eastAsia="zh-CN"/>
        </w:rPr>
        <w:t xml:space="preserve">a) </w:t>
      </w:r>
      <w:r>
        <w:t>实验室负责人或维修车间主管信息；人员接受化学品管理及安全操作的培训记录。</w:t>
      </w:r>
      <w:r>
        <w:br w:type="textWrapping"/>
      </w:r>
      <w:r>
        <w:rPr>
          <w:rFonts w:hint="eastAsia"/>
          <w:lang w:val="en-US" w:eastAsia="zh-CN"/>
        </w:rPr>
        <w:t xml:space="preserve">b) </w:t>
      </w:r>
      <w:r>
        <w:t>使用的化学品、试剂、油品及溶剂清单；实验台防渗盘、通风橱、地面防渗层及应急物资的配备与完好性。</w:t>
      </w:r>
      <w:r>
        <w:br w:type="textWrapping"/>
      </w:r>
      <w:r>
        <w:rPr>
          <w:rFonts w:hint="eastAsia"/>
          <w:lang w:val="en-US" w:eastAsia="zh-CN"/>
        </w:rPr>
        <w:t xml:space="preserve">c) </w:t>
      </w:r>
      <w:r>
        <w:t>化学品贮存、实验操作及维修作业的日常检查记录；废液、废油的收集与处置台账。</w:t>
      </w:r>
    </w:p>
    <w:p w14:paraId="676D0F7E">
      <w:r>
        <w:rPr>
          <w:rFonts w:hint="eastAsia"/>
        </w:rPr>
        <w:t>其他活动区信息收集见附录E。</w:t>
      </w:r>
    </w:p>
    <w:p w14:paraId="722E841A"/>
    <w:p w14:paraId="4AAE83D9">
      <w:pPr>
        <w:pStyle w:val="2"/>
      </w:pPr>
      <w:bookmarkStart w:id="15" w:name="_Toc11177"/>
      <w:r>
        <w:rPr>
          <w:rFonts w:hint="eastAsia"/>
        </w:rPr>
        <w:t>7　信息采集方式</w:t>
      </w:r>
      <w:bookmarkEnd w:id="15"/>
    </w:p>
    <w:p w14:paraId="4DF2DCE1">
      <w:pPr>
        <w:ind w:firstLine="0" w:firstLineChars="0"/>
      </w:pPr>
      <w:r>
        <w:rPr>
          <w:rFonts w:hint="eastAsia"/>
        </w:rPr>
        <w:t>7.</w:t>
      </w:r>
      <w:r>
        <w:rPr>
          <w:rFonts w:hint="eastAsia"/>
          <w:lang w:val="en-US" w:eastAsia="zh-CN"/>
        </w:rPr>
        <w:t xml:space="preserve">1 </w:t>
      </w:r>
      <w:r>
        <w:rPr>
          <w:rFonts w:hint="eastAsia"/>
        </w:rPr>
        <w:t>企业自查信息</w:t>
      </w:r>
    </w:p>
    <w:p w14:paraId="656157B1">
      <w:r>
        <w:rPr>
          <w:rFonts w:hint="eastAsia"/>
        </w:rPr>
        <w:t>企业应建立土壤污染防控信息自主采集机制，通过线上平台或企业环境管理信息系统主动提供、更新相关信息，实现信息的自主上报与动态管理。</w:t>
      </w:r>
    </w:p>
    <w:p w14:paraId="46F4D3C5">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w:t>
      </w:r>
      <w:r>
        <w:rPr>
          <w:rFonts w:hint="eastAsia" w:ascii="黑体" w:hAnsi="黑体" w:eastAsia="黑体"/>
          <w:color w:val="000000" w:themeColor="text1"/>
          <w:szCs w:val="21"/>
          <w:lang w:val="en-US" w:eastAsia="zh-CN"/>
          <w14:textFill>
            <w14:solidFill>
              <w14:schemeClr w14:val="tx1"/>
            </w14:solidFill>
          </w14:textFill>
        </w:rPr>
        <w:t xml:space="preserve">2 </w:t>
      </w:r>
      <w:r>
        <w:rPr>
          <w:rFonts w:hint="eastAsia" w:ascii="黑体" w:hAnsi="黑体" w:eastAsia="黑体"/>
          <w:color w:val="000000" w:themeColor="text1"/>
          <w:szCs w:val="21"/>
          <w14:textFill>
            <w14:solidFill>
              <w14:schemeClr w14:val="tx1"/>
            </w14:solidFill>
          </w14:textFill>
        </w:rPr>
        <w:t>资料收集</w:t>
      </w:r>
    </w:p>
    <w:p w14:paraId="23CD85CD">
      <w:r>
        <w:rPr>
          <w:rFonts w:hint="eastAsia"/>
        </w:rPr>
        <w:t>企业通过系统性地检索、调阅和分析企业内外部留存的各类文件、图纸、报告和记录，自主调取基础性、历史性和设计性信息。资料收集清单详见附录F。</w:t>
      </w:r>
    </w:p>
    <w:p w14:paraId="319E7324">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w:t>
      </w:r>
      <w:r>
        <w:rPr>
          <w:rFonts w:hint="eastAsia" w:ascii="黑体" w:hAnsi="黑体" w:eastAsia="黑体"/>
          <w:color w:val="000000" w:themeColor="text1"/>
          <w:szCs w:val="21"/>
          <w:lang w:val="en-US" w:eastAsia="zh-CN"/>
          <w14:textFill>
            <w14:solidFill>
              <w14:schemeClr w14:val="tx1"/>
            </w14:solidFill>
          </w14:textFill>
        </w:rPr>
        <w:t xml:space="preserve">3 </w:t>
      </w:r>
      <w:r>
        <w:rPr>
          <w:rFonts w:hint="eastAsia" w:ascii="黑体" w:hAnsi="黑体" w:eastAsia="黑体"/>
          <w:color w:val="000000" w:themeColor="text1"/>
          <w:szCs w:val="21"/>
          <w14:textFill>
            <w14:solidFill>
              <w14:schemeClr w14:val="tx1"/>
            </w14:solidFill>
          </w14:textFill>
        </w:rPr>
        <w:t>现场踏勘</w:t>
      </w:r>
    </w:p>
    <w:p w14:paraId="750AB491">
      <w:r>
        <w:rPr>
          <w:rFonts w:hint="eastAsia"/>
        </w:rPr>
        <w:t>企业组织专业人员，利用厂区自有视频监控、现场巡检设备、便携式检测仪器等工具，对厂区内涉及有毒有害物质的重点场所、重点设施设备的现状、运行状态及周边环境开展自主检查、识别与记录。踏勘应覆盖厂区所有重点区域，并重点关注隐蔽区域、历史遗留区域及易发生渗漏、扬散的关键点位，主要内容包括：设施设备运转情况、土壤污染防护设施配备及完好性、化学品和废弃物储存处置设施状态、三废处理与排放情况、泄漏状况及企业生产过程中可能造成土壤污染的异常迹象。踏勘完成后及时整理踏勘记录，将现场影像、检测数据等信息同步录入企业信息系统。</w:t>
      </w:r>
    </w:p>
    <w:p w14:paraId="720D0A55">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w:t>
      </w:r>
      <w:r>
        <w:rPr>
          <w:rFonts w:hint="eastAsia" w:ascii="黑体" w:hAnsi="黑体" w:eastAsia="黑体"/>
          <w:color w:val="000000" w:themeColor="text1"/>
          <w:szCs w:val="21"/>
          <w:lang w:val="en-US" w:eastAsia="zh-CN"/>
          <w14:textFill>
            <w14:solidFill>
              <w14:schemeClr w14:val="tx1"/>
            </w14:solidFill>
          </w14:textFill>
        </w:rPr>
        <w:t xml:space="preserve">4 </w:t>
      </w:r>
      <w:r>
        <w:rPr>
          <w:rFonts w:hint="eastAsia" w:ascii="黑体" w:hAnsi="黑体" w:eastAsia="黑体"/>
          <w:color w:val="000000" w:themeColor="text1"/>
          <w:szCs w:val="21"/>
          <w14:textFill>
            <w14:solidFill>
              <w14:schemeClr w14:val="tx1"/>
            </w14:solidFill>
          </w14:textFill>
        </w:rPr>
        <w:t>人员访谈</w:t>
      </w:r>
    </w:p>
    <w:p w14:paraId="2E2FB484">
      <w:r>
        <w:rPr>
          <w:rFonts w:hint="eastAsia"/>
        </w:rPr>
        <w:t>企业通过当面沟通、电话咨询、书面调查（带勾选 / 填写项标准化调查表）等多种形式开展访谈工作。访谈对象具有代表性，除企业决策管理层、环保管理人员、生产车间负责人、设备维修人员、长期在职老员工等内部人员外，还应涵盖周边居民、周边企业、生态环境监管部门等利益相关方。访谈重点内容包括：企业生产历程、工艺与设施的变更情况、历史上环境污染事件及其处置方式、设施设备未被记录的异常情况、对厂区内特定区域或设施环境状况的疑虑与看法、周边环境受企业生产影响的相关情况等。访谈过程做好记录，利用语音识别等技术快速将语音记录转化为文字，并将所有访谈记录同步转化为电子数据，统一纳入企业土壤污染防控信息系统管理。</w:t>
      </w:r>
    </w:p>
    <w:p w14:paraId="07AAA6F2">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w:t>
      </w:r>
      <w:r>
        <w:rPr>
          <w:rFonts w:hint="eastAsia" w:ascii="黑体" w:hAnsi="黑体" w:eastAsia="黑体"/>
          <w:color w:val="000000" w:themeColor="text1"/>
          <w:szCs w:val="21"/>
          <w:lang w:val="en-US" w:eastAsia="zh-CN"/>
          <w14:textFill>
            <w14:solidFill>
              <w14:schemeClr w14:val="tx1"/>
            </w14:solidFill>
          </w14:textFill>
        </w:rPr>
        <w:t xml:space="preserve">5 </w:t>
      </w:r>
      <w:r>
        <w:rPr>
          <w:rFonts w:hint="eastAsia" w:ascii="黑体" w:hAnsi="黑体" w:eastAsia="黑体"/>
          <w:color w:val="000000" w:themeColor="text1"/>
          <w:szCs w:val="21"/>
          <w14:textFill>
            <w14:solidFill>
              <w14:schemeClr w14:val="tx1"/>
            </w14:solidFill>
          </w14:textFill>
        </w:rPr>
        <w:t>自动数据采集</w:t>
      </w:r>
    </w:p>
    <w:p w14:paraId="31616384">
      <w:pPr>
        <w:widowControl/>
        <w:jc w:val="left"/>
      </w:pPr>
      <w:r>
        <w:rPr>
          <w:rFonts w:hint="eastAsia"/>
          <w:lang w:bidi="ar"/>
        </w:rPr>
        <w:t>企业利用厂区内已建的土壤、地下水、大气、废水、固废等在线监测设备，结合物联网系统、数据采集仪，实现土壤污染相关监测数据、生产运行关键参数、污染防控设施运行状态数据等的自动采集、实时传输和同步存储。自动数据采集覆盖企业生产及储运区、废水处理区、固体废物贮存区等重点区域；同时推动自动采集系统与企业环境管理信息系统、土壤污染防控专用系统的互联互通。</w:t>
      </w:r>
    </w:p>
    <w:p w14:paraId="4312B9DB">
      <w:pPr>
        <w:pStyle w:val="2"/>
      </w:pPr>
      <w:bookmarkStart w:id="16" w:name="_Toc24657"/>
      <w:r>
        <w:rPr>
          <w:rFonts w:hint="eastAsia"/>
        </w:rPr>
        <w:t>8　信息采集技术</w:t>
      </w:r>
      <w:bookmarkEnd w:id="16"/>
    </w:p>
    <w:p w14:paraId="09A7AA4D">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8.1文字信息提取技术</w:t>
      </w:r>
    </w:p>
    <w:p w14:paraId="785532C2">
      <w:r>
        <w:rPr>
          <w:rFonts w:hint="eastAsia"/>
        </w:rPr>
        <w:t>在资料收集过程中，通过扫描或拍摄图像，将图像中的文字转化为可编辑的文本，将纸质版环境影响报告、工程地质勘察报告进行拍照识别，快速提取文字。企业完成文字提取后，及时将转化后的电子文本整理归档，统一纳入企业土壤污染防控信息系统管理。</w:t>
      </w:r>
    </w:p>
    <w:p w14:paraId="251FFF29">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8.2 遥感技术</w:t>
      </w:r>
    </w:p>
    <w:p w14:paraId="48EB603E">
      <w:r>
        <w:rPr>
          <w:rFonts w:hint="eastAsia"/>
        </w:rPr>
        <w:t>遥感技术按需使用，仅在企业在现场踏勘过程中，用于测量企业范围、面积、土地历史利用状况等基础信息，测量企业用地的时空分布，提升信息采集工作效率、数据质量。</w:t>
      </w:r>
    </w:p>
    <w:p w14:paraId="16584767">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8.3 无人机技术</w:t>
      </w:r>
    </w:p>
    <w:p w14:paraId="2C773BC3">
      <w:r>
        <w:rPr>
          <w:rFonts w:hint="eastAsia"/>
        </w:rPr>
        <w:t>无人机技术按需使用，在企业现场踏勘阶段，可利用无人机技术对企业范围进行精准定位，对难以到达的调查点位开展信息采集。</w:t>
      </w:r>
    </w:p>
    <w:p w14:paraId="3A770DAB">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8.4 语音识别技术</w:t>
      </w:r>
    </w:p>
    <w:p w14:paraId="47033CCB">
      <w:r>
        <w:rPr>
          <w:rFonts w:hint="eastAsia"/>
        </w:rPr>
        <w:t>在人员访谈过程中，可利用语音识别技术快速将语音转化为文字，在人员访谈等环节可应用。该技术需与企业访谈书面调查表结合使用，实现语音记录与文字数据的同步归集，转化后的文字信息需及时整理，纳入企业土壤污染防控信息系统。</w:t>
      </w:r>
    </w:p>
    <w:p w14:paraId="6DED2130">
      <w:pPr>
        <w:ind w:firstLine="0" w:firstLineChars="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8.5 手持智能终端</w:t>
      </w:r>
    </w:p>
    <w:p w14:paraId="0B37CCC2">
      <w:r>
        <w:rPr>
          <w:rFonts w:hint="eastAsia"/>
        </w:rPr>
        <w:t>在企业内外部资料梳理与调取、现场踏勘、人员访谈等全流程信息采集工作中，应用手持智能数据采集终端开展信息的采集、录入工作；终端需与企业环境管理信息系统、土壤污染防控信息系统互联互通，实现采集信息的实时上传、数据同步；鼓励企业融合物联网、大数据等信息化技术，将手持智能终端与在线监测设备、生产控制系统联动，实现生产运行参数、污染防控监测数据的自动采集与整合。</w:t>
      </w:r>
    </w:p>
    <w:p w14:paraId="2848E42E">
      <w:pPr>
        <w:pStyle w:val="2"/>
      </w:pPr>
      <w:bookmarkStart w:id="17" w:name="_Toc19025"/>
      <w:r>
        <w:rPr>
          <w:rFonts w:hint="eastAsia"/>
        </w:rPr>
        <w:t>9　质量控制</w:t>
      </w:r>
      <w:bookmarkEnd w:id="17"/>
    </w:p>
    <w:p w14:paraId="1664204B">
      <w:pPr>
        <w:ind w:firstLine="0" w:firstLineChars="0"/>
        <w:rPr>
          <w:color w:val="000000"/>
        </w:rPr>
      </w:pPr>
      <w:r>
        <w:rPr>
          <w:rFonts w:hint="eastAsia"/>
          <w:color w:val="000000"/>
        </w:rPr>
        <w:t>9.1 信息采集格式</w:t>
      </w:r>
    </w:p>
    <w:p w14:paraId="2E52022E">
      <w:pPr>
        <w:widowControl/>
        <w:jc w:val="left"/>
        <w:rPr>
          <w:lang w:bidi="ar"/>
        </w:rPr>
      </w:pPr>
      <w:r>
        <w:rPr>
          <w:rFonts w:hint="eastAsia"/>
          <w:lang w:bidi="ar"/>
        </w:rPr>
        <w:t>信息采集成果应符合以下格式要求，确保数据兼容与可追溯：</w:t>
      </w:r>
    </w:p>
    <w:p w14:paraId="041E90F2">
      <w:pPr>
        <w:widowControl/>
        <w:numPr>
          <w:ilvl w:val="0"/>
          <w:numId w:val="6"/>
        </w:numPr>
        <w:jc w:val="left"/>
        <w:rPr>
          <w:lang w:bidi="ar"/>
        </w:rPr>
      </w:pPr>
      <w:r>
        <w:rPr>
          <w:rFonts w:hint="eastAsia"/>
          <w:lang w:bidi="ar"/>
        </w:rPr>
        <w:t>图片、监控影像：JPG/PNG/MP4 格式；</w:t>
      </w:r>
    </w:p>
    <w:p w14:paraId="1D070DB1">
      <w:pPr>
        <w:widowControl/>
        <w:numPr>
          <w:ilvl w:val="0"/>
          <w:numId w:val="6"/>
        </w:numPr>
        <w:jc w:val="left"/>
      </w:pPr>
      <w:r>
        <w:rPr>
          <w:rFonts w:hint="eastAsia"/>
          <w:lang w:bidi="ar"/>
        </w:rPr>
        <w:t>文档资料：PDF/WORD 格式；</w:t>
      </w:r>
    </w:p>
    <w:p w14:paraId="110004CA">
      <w:pPr>
        <w:widowControl/>
        <w:numPr>
          <w:ilvl w:val="0"/>
          <w:numId w:val="6"/>
        </w:numPr>
        <w:jc w:val="left"/>
      </w:pPr>
      <w:r>
        <w:rPr>
          <w:rFonts w:hint="eastAsia"/>
          <w:lang w:bidi="ar"/>
        </w:rPr>
        <w:t>数据类文件：EXCEL/CSV 格式；</w:t>
      </w:r>
    </w:p>
    <w:p w14:paraId="4594B90A">
      <w:pPr>
        <w:widowControl/>
        <w:numPr>
          <w:ilvl w:val="0"/>
          <w:numId w:val="6"/>
        </w:numPr>
        <w:jc w:val="left"/>
      </w:pPr>
      <w:r>
        <w:rPr>
          <w:rFonts w:hint="eastAsia"/>
          <w:lang w:bidi="ar"/>
        </w:rPr>
        <w:t>监测数据：符合 HJ 212 环境信息监控数据传输标准格式要求；</w:t>
      </w:r>
    </w:p>
    <w:p w14:paraId="42839223">
      <w:pPr>
        <w:widowControl/>
        <w:numPr>
          <w:ilvl w:val="0"/>
          <w:numId w:val="6"/>
        </w:numPr>
        <w:jc w:val="left"/>
      </w:pPr>
      <w:r>
        <w:rPr>
          <w:rFonts w:hint="eastAsia"/>
          <w:lang w:bidi="ar"/>
        </w:rPr>
        <w:t>录音 / 访谈记录：MP3/TXT 格式。</w:t>
      </w:r>
    </w:p>
    <w:p w14:paraId="62B1C3B3">
      <w:pPr>
        <w:ind w:firstLine="0" w:firstLineChars="0"/>
      </w:pPr>
      <w:r>
        <w:rPr>
          <w:rFonts w:hint="eastAsia"/>
        </w:rPr>
        <w:t>9.2质量检查内容</w:t>
      </w:r>
    </w:p>
    <w:p w14:paraId="1351A2F1">
      <w:pPr>
        <w:widowControl/>
        <w:jc w:val="left"/>
        <w:rPr>
          <w:lang w:bidi="ar"/>
        </w:rPr>
      </w:pPr>
      <w:r>
        <w:rPr>
          <w:lang w:bidi="ar"/>
        </w:rPr>
        <w:t>质量检查内容包括信息完整性、规范性、准确性和溯源性检查，具体如下：</w:t>
      </w:r>
    </w:p>
    <w:p w14:paraId="0BC30D12">
      <w:pPr>
        <w:widowControl/>
        <w:numPr>
          <w:ilvl w:val="0"/>
          <w:numId w:val="7"/>
        </w:numPr>
        <w:jc w:val="left"/>
        <w:rPr>
          <w:lang w:bidi="ar"/>
        </w:rPr>
      </w:pPr>
      <w:r>
        <w:rPr>
          <w:lang w:bidi="ar"/>
        </w:rPr>
        <w:t>信息完整性检查：调查表是否按照技术规定要求填写了所有信息项，若有填写缺项须说明原因；</w:t>
      </w:r>
    </w:p>
    <w:p w14:paraId="56BEE758">
      <w:pPr>
        <w:widowControl/>
        <w:numPr>
          <w:ilvl w:val="0"/>
          <w:numId w:val="7"/>
        </w:numPr>
        <w:jc w:val="left"/>
      </w:pPr>
      <w:r>
        <w:rPr>
          <w:lang w:bidi="ar"/>
        </w:rPr>
        <w:t>信息规范性检查：调查表是否按照技术规定的填表说明、填写规范等要求进行填写，采集成果是否符合9.</w:t>
      </w:r>
      <w:r>
        <w:rPr>
          <w:rFonts w:hint="eastAsia"/>
          <w:lang w:bidi="ar"/>
        </w:rPr>
        <w:t>1</w:t>
      </w:r>
      <w:r>
        <w:rPr>
          <w:lang w:bidi="ar"/>
        </w:rPr>
        <w:t>规定的信息采集格式要求；</w:t>
      </w:r>
    </w:p>
    <w:p w14:paraId="299159EE">
      <w:pPr>
        <w:widowControl/>
        <w:numPr>
          <w:ilvl w:val="0"/>
          <w:numId w:val="7"/>
        </w:numPr>
        <w:jc w:val="left"/>
      </w:pPr>
      <w:r>
        <w:rPr>
          <w:lang w:bidi="ar"/>
        </w:rPr>
        <w:t>信息准确性检查：填报信息是否通过现场踏勘、人员访谈、自动监测等有效途径获得，是否与污染源普查、环境统计报表、企业排污申报或排污许可证等资料信息中内容相符，当有多个信息来源时，核实是否采用了时效性好、可靠性高的信息；</w:t>
      </w:r>
    </w:p>
    <w:p w14:paraId="4CE27D2D">
      <w:pPr>
        <w:widowControl/>
        <w:numPr>
          <w:ilvl w:val="0"/>
          <w:numId w:val="7"/>
        </w:numPr>
        <w:jc w:val="left"/>
      </w:pPr>
      <w:r>
        <w:rPr>
          <w:lang w:bidi="ar"/>
        </w:rPr>
        <w:t>信息溯源性检查：所有信息需标注采集来源、采集时间、采集人，确保数据可追溯。</w:t>
      </w:r>
    </w:p>
    <w:p w14:paraId="6F4F5448">
      <w:pPr>
        <w:widowControl/>
        <w:jc w:val="left"/>
      </w:pPr>
      <w:r>
        <w:rPr>
          <w:lang w:bidi="ar"/>
        </w:rPr>
        <w:t>质量检查组应依据相关文件及支撑材料对工业企业污染防控信息调查表的完整性、规范性、准确性和溯源性进行质量检查，当四者均达到上述要求时，判定该工业企业信息采集工作合格，否则为不合格。</w:t>
      </w:r>
    </w:p>
    <w:p w14:paraId="05830578">
      <w:pPr>
        <w:ind w:firstLine="0" w:firstLineChars="0"/>
      </w:pPr>
      <w:r>
        <w:rPr>
          <w:rFonts w:hint="eastAsia"/>
        </w:rPr>
        <w:t>9.3多级质控体系</w:t>
      </w:r>
    </w:p>
    <w:p w14:paraId="2A3EB9F8">
      <w:pPr>
        <w:ind w:firstLine="0" w:firstLineChars="0"/>
      </w:pPr>
      <w:r>
        <w:rPr>
          <w:rFonts w:hint="eastAsia"/>
        </w:rPr>
        <w:t>9.3.1 质控依据</w:t>
      </w:r>
    </w:p>
    <w:p w14:paraId="706B65D3">
      <w:r>
        <w:rPr>
          <w:rFonts w:hint="eastAsia"/>
        </w:rPr>
        <w:t>工业企业土壤污染防控信息采集应按数据类型</w:t>
      </w:r>
      <w:r>
        <w:rPr>
          <w:rFonts w:hint="eastAsia"/>
          <w:lang w:eastAsia="zh-CN"/>
        </w:rPr>
        <w:t>符合</w:t>
      </w:r>
      <w:r>
        <w:rPr>
          <w:rFonts w:hint="eastAsia"/>
        </w:rPr>
        <w:t>对应国标、行标要求：污染物监测数据</w:t>
      </w:r>
      <w:r>
        <w:rPr>
          <w:rFonts w:hint="eastAsia"/>
          <w:lang w:eastAsia="zh-CN"/>
        </w:rPr>
        <w:t>符合</w:t>
      </w:r>
      <w:r>
        <w:rPr>
          <w:rFonts w:hint="eastAsia"/>
        </w:rPr>
        <w:t xml:space="preserve"> HJ 系列相关标准，用电、用能等生产运营数据</w:t>
      </w:r>
      <w:r>
        <w:rPr>
          <w:rFonts w:hint="eastAsia"/>
          <w:lang w:eastAsia="zh-CN"/>
        </w:rPr>
        <w:t>符合</w:t>
      </w:r>
      <w:r>
        <w:rPr>
          <w:rFonts w:hint="eastAsia"/>
        </w:rPr>
        <w:t>工信部相关标准，土壤污染风险管控相关数据</w:t>
      </w:r>
      <w:r>
        <w:rPr>
          <w:rFonts w:hint="eastAsia"/>
          <w:lang w:eastAsia="zh-CN"/>
        </w:rPr>
        <w:t>符合</w:t>
      </w:r>
      <w:r>
        <w:rPr>
          <w:rFonts w:hint="eastAsia"/>
        </w:rPr>
        <w:t xml:space="preserve"> GB 36600 相关要求；自动采集数据需符合 HJ 212 环境信息监控数据传输的质量标准，企业需定期对在线监测设备、数据采集仪等进行校准、维护，确保设备正常运行。</w:t>
      </w:r>
    </w:p>
    <w:p w14:paraId="29B6991E">
      <w:pPr>
        <w:ind w:firstLine="0" w:firstLineChars="0"/>
      </w:pPr>
      <w:r>
        <w:rPr>
          <w:rFonts w:hint="eastAsia"/>
        </w:rPr>
        <w:t>9.3.2 三级质控实施</w:t>
      </w:r>
    </w:p>
    <w:p w14:paraId="145A6AE6">
      <w:r>
        <w:rPr>
          <w:rFonts w:hint="eastAsia"/>
        </w:rPr>
        <w:t>工业企业土壤污染防控</w:t>
      </w:r>
      <w:r>
        <w:t>信息采集应建立自审、内审和外审三级质控体系并开展质控检查，污染</w:t>
      </w:r>
      <w:r>
        <w:rPr>
          <w:rFonts w:hint="eastAsia"/>
        </w:rPr>
        <w:t>防控</w:t>
      </w:r>
      <w:r>
        <w:t>信息采集任务承担单位成立专门的污染</w:t>
      </w:r>
      <w:r>
        <w:rPr>
          <w:rFonts w:hint="eastAsia"/>
        </w:rPr>
        <w:t>防控</w:t>
      </w:r>
      <w:r>
        <w:t>信息采集工作组，工作组内应安排专门用于组内自审的人员，任务承担单位应有专门的单位内审部门，用于对各污染</w:t>
      </w:r>
      <w:r>
        <w:rPr>
          <w:rFonts w:hint="eastAsia"/>
        </w:rPr>
        <w:t>防控</w:t>
      </w:r>
      <w:r>
        <w:t>信息采集工作组的质量检查；质控单位应独立于任务承担单位，用于对污染</w:t>
      </w:r>
      <w:r>
        <w:rPr>
          <w:rFonts w:hint="eastAsia"/>
        </w:rPr>
        <w:t>防控</w:t>
      </w:r>
      <w:r>
        <w:t>信息采集各任务承担单位的质量检查。即：</w:t>
      </w:r>
    </w:p>
    <w:p w14:paraId="6D2AF94E">
      <w:r>
        <w:t>污染</w:t>
      </w:r>
      <w:r>
        <w:rPr>
          <w:rFonts w:hint="eastAsia"/>
        </w:rPr>
        <w:t>防控</w:t>
      </w:r>
      <w:r>
        <w:t>信息采集工作组应对完成的每个</w:t>
      </w:r>
      <w:r>
        <w:rPr>
          <w:rFonts w:hint="eastAsia"/>
        </w:rPr>
        <w:t>工业企业</w:t>
      </w:r>
      <w:r>
        <w:t>信息进行自审；信息采集机构应对本单位完成的所有</w:t>
      </w:r>
      <w:r>
        <w:rPr>
          <w:rFonts w:hint="eastAsia"/>
        </w:rPr>
        <w:t>工业企业</w:t>
      </w:r>
      <w:r>
        <w:t>信息进行内审。质控单位应对所有任务承担单位的信息采集工作进行外审。如发现不合格调查表时，应及时纠正或补充完善，并注明原因</w:t>
      </w:r>
      <w:r>
        <w:rPr>
          <w:rFonts w:hint="eastAsia"/>
          <w:lang w:eastAsia="zh-CN"/>
        </w:rPr>
        <w:t>，</w:t>
      </w:r>
      <w:r>
        <w:t>内审和外审应对每个附录表中带“*”信息项加强审核，带“*”的不准确或不规范项数超过2项，则判定为该表不合格。</w:t>
      </w:r>
    </w:p>
    <w:p w14:paraId="02F554F4">
      <w:pPr>
        <w:pStyle w:val="2"/>
      </w:pPr>
      <w:bookmarkStart w:id="18" w:name="_Toc1560"/>
      <w:r>
        <w:rPr>
          <w:rFonts w:hint="eastAsia"/>
        </w:rPr>
        <w:t>10 信息更新与维护</w:t>
      </w:r>
      <w:bookmarkEnd w:id="18"/>
    </w:p>
    <w:p w14:paraId="29D0B57B">
      <w:pPr>
        <w:ind w:firstLine="0" w:firstLineChars="0"/>
        <w:rPr>
          <w:rFonts w:hint="eastAsia"/>
        </w:rPr>
      </w:pPr>
      <w:r>
        <w:rPr>
          <w:rFonts w:hint="default"/>
        </w:rPr>
        <w:t>10.1</w:t>
      </w:r>
      <w:r>
        <w:rPr>
          <w:rFonts w:hint="eastAsia"/>
        </w:rPr>
        <w:t xml:space="preserve"> </w:t>
      </w:r>
      <w:r>
        <w:rPr>
          <w:rFonts w:hint="default"/>
        </w:rPr>
        <w:t>基础静态资料（一般规定）</w:t>
      </w:r>
    </w:p>
    <w:p w14:paraId="11DB747E">
      <w:pPr>
        <w:widowControl/>
        <w:jc w:val="left"/>
        <w:rPr>
          <w:lang w:bidi="ar"/>
        </w:rPr>
      </w:pPr>
      <w:r>
        <w:rPr>
          <w:lang w:bidi="ar"/>
        </w:rPr>
        <w:t>包括但不限于企业总平面布置图、生产工艺流程图及说明、</w:t>
      </w:r>
      <w:r>
        <w:rPr>
          <w:rFonts w:hint="eastAsia"/>
          <w:lang w:bidi="ar"/>
        </w:rPr>
        <w:t>水文</w:t>
      </w:r>
      <w:r>
        <w:rPr>
          <w:lang w:bidi="ar"/>
        </w:rPr>
        <w:t>地质勘察报告、环境影响评价报告及批复、竣工环保验收报告、重点设施设备的设计与验收资料。</w:t>
      </w:r>
      <w:r>
        <w:rPr>
          <w:rFonts w:hint="eastAsia"/>
          <w:lang w:bidi="ar"/>
        </w:rPr>
        <w:t>此类资料首次收集后应完成电子化归档并永久保存，在企业发生新、改、扩建或重大工艺变更时应及时同步更新相关资料，确保与企业实际生产经营状况一致。</w:t>
      </w:r>
    </w:p>
    <w:p w14:paraId="4D4929AF">
      <w:pPr>
        <w:ind w:firstLine="0" w:firstLineChars="0"/>
      </w:pPr>
      <w:r>
        <w:rPr>
          <w:rFonts w:hint="eastAsia"/>
        </w:rPr>
        <w:t>10.2</w:t>
      </w:r>
      <w:r>
        <w:rPr>
          <w:rFonts w:hint="eastAsia"/>
          <w:lang w:val="en-US" w:eastAsia="zh-CN"/>
        </w:rPr>
        <w:t xml:space="preserve"> </w:t>
      </w:r>
      <w:r>
        <w:rPr>
          <w:rFonts w:hint="eastAsia"/>
        </w:rPr>
        <w:t>动态核心资料（一般规定）</w:t>
      </w:r>
    </w:p>
    <w:p w14:paraId="668C3ED3">
      <w:pPr>
        <w:widowControl/>
        <w:jc w:val="left"/>
        <w:rPr>
          <w:lang w:bidi="ar"/>
        </w:rPr>
      </w:pPr>
      <w:r>
        <w:rPr>
          <w:lang w:bidi="ar"/>
        </w:rPr>
        <w:t>包括但不限于原辅材料及产品清单、有毒有害物质清单、危险废物管理计划、重点场所与重点设施设备清单（需包含涉及物料与年周转量等信息）</w:t>
      </w:r>
      <w:r>
        <w:rPr>
          <w:rFonts w:hint="eastAsia"/>
          <w:lang w:bidi="ar"/>
        </w:rPr>
        <w:t>、</w:t>
      </w:r>
      <w:r>
        <w:rPr>
          <w:lang w:bidi="ar"/>
        </w:rPr>
        <w:t>土壤与地下水自行监测报告、隐患整改台账。</w:t>
      </w:r>
      <w:r>
        <w:rPr>
          <w:rFonts w:hint="eastAsia"/>
          <w:lang w:bidi="ar"/>
        </w:rPr>
        <w:t>此类资料应每年至少进行一次系统性审查与更新，若企业生产工艺、物料使用、污染防控措施等发生重大调整，应即时完成资料更新。</w:t>
      </w:r>
    </w:p>
    <w:p w14:paraId="2416D073">
      <w:pPr>
        <w:ind w:firstLine="0" w:firstLineChars="0"/>
      </w:pPr>
      <w:r>
        <w:rPr>
          <w:rFonts w:hint="eastAsia"/>
        </w:rPr>
        <w:t>10.3 实时记录资料（一般规定）</w:t>
      </w:r>
    </w:p>
    <w:p w14:paraId="0FB107CA">
      <w:pPr>
        <w:widowControl/>
        <w:jc w:val="left"/>
        <w:rPr>
          <w:lang w:bidi="ar"/>
        </w:rPr>
      </w:pPr>
      <w:r>
        <w:rPr>
          <w:lang w:bidi="ar"/>
        </w:rPr>
        <w:t>包括但不限于日常巡检记录、设备维护保养记录、泄漏检测报告。此类资料应随生产与管理活动的开展持续</w:t>
      </w:r>
      <w:r>
        <w:rPr>
          <w:rFonts w:hint="eastAsia"/>
          <w:lang w:bidi="ar"/>
        </w:rPr>
        <w:t>更新</w:t>
      </w:r>
      <w:r>
        <w:rPr>
          <w:lang w:bidi="ar"/>
        </w:rPr>
        <w:t>。</w:t>
      </w:r>
      <w:r>
        <w:rPr>
          <w:rFonts w:hint="eastAsia"/>
          <w:lang w:bidi="ar"/>
        </w:rPr>
        <w:t>此类信息至少储存三年，实时记录资料列表见附录G。</w:t>
      </w:r>
    </w:p>
    <w:p w14:paraId="7B41E50D">
      <w:pPr>
        <w:ind w:firstLine="0" w:firstLineChars="0"/>
      </w:pPr>
      <w:r>
        <w:rPr>
          <w:rFonts w:hint="eastAsia"/>
        </w:rPr>
        <w:t>10.4 信息共享</w:t>
      </w:r>
    </w:p>
    <w:p w14:paraId="48BD5AC9">
      <w:pPr>
        <w:widowControl/>
        <w:jc w:val="left"/>
        <w:rPr>
          <w:lang w:bidi="ar"/>
        </w:rPr>
      </w:pPr>
      <w:r>
        <w:rPr>
          <w:lang w:bidi="ar"/>
        </w:rPr>
        <w:t>企业应建立土壤污染防控信息管理系统，对采集的信息进行统一管理和维护；实现与企业内部水、气、固废等环境管理信息系统的兼容与数据衔接，并按要求与生态环境监管部门信息系统共享，确保信息同步更新。</w:t>
      </w:r>
    </w:p>
    <w:p w14:paraId="1F2F3844">
      <w:pPr>
        <w:rPr>
          <w:color w:val="000000" w:themeColor="text1"/>
          <w:szCs w:val="21"/>
          <w14:textFill>
            <w14:solidFill>
              <w14:schemeClr w14:val="tx1"/>
            </w14:solidFill>
          </w14:textFill>
        </w:rPr>
      </w:pPr>
      <w:bookmarkStart w:id="19" w:name="_Toc395187810"/>
      <w:r>
        <w:rPr>
          <w:color w:val="000000" w:themeColor="text1"/>
          <w:szCs w:val="21"/>
          <w14:textFill>
            <w14:solidFill>
              <w14:schemeClr w14:val="tx1"/>
            </w14:solidFill>
          </w14:textFill>
        </w:rPr>
        <w:br w:type="page"/>
      </w:r>
    </w:p>
    <w:p w14:paraId="75A8F29C">
      <w:pPr>
        <w:pStyle w:val="2"/>
        <w:spacing w:line="240" w:lineRule="auto"/>
        <w:jc w:val="center"/>
      </w:pPr>
      <w:bookmarkStart w:id="20" w:name="_Toc28767"/>
      <w:r>
        <w:rPr>
          <w:rFonts w:hint="eastAsia"/>
          <w:color w:val="000000" w:themeColor="text1"/>
          <w:szCs w:val="21"/>
          <w14:textFill>
            <w14:solidFill>
              <w14:schemeClr w14:val="tx1"/>
            </w14:solidFill>
          </w14:textFill>
        </w:rPr>
        <w:t>附录</w:t>
      </w:r>
      <w:r>
        <w:rPr>
          <w:color w:val="000000" w:themeColor="text1"/>
          <w:szCs w:val="21"/>
          <w14:textFill>
            <w14:solidFill>
              <w14:schemeClr w14:val="tx1"/>
            </w14:solidFill>
          </w14:textFill>
        </w:rPr>
        <w:t>A</w:t>
      </w:r>
      <w:bookmarkEnd w:id="20"/>
      <w:bookmarkStart w:id="21" w:name="_Toc30689"/>
      <w:r>
        <w:rPr>
          <w:rFonts w:hint="eastAsia"/>
          <w:color w:val="000000" w:themeColor="text1"/>
          <w:szCs w:val="21"/>
          <w14:textFill>
            <w14:solidFill>
              <w14:schemeClr w14:val="tx1"/>
            </w14:solidFill>
          </w14:textFill>
        </w:rPr>
        <w:t>（资料性）</w:t>
      </w:r>
      <w:bookmarkEnd w:id="21"/>
      <w:r>
        <w:rPr>
          <w:rFonts w:hint="eastAsia"/>
        </w:rPr>
        <w:t>企业基本信息收集表</w:t>
      </w:r>
    </w:p>
    <w:p w14:paraId="71798527">
      <w:r>
        <w:rPr>
          <w:rFonts w:hint="eastAsia"/>
        </w:rPr>
        <w:t>企业基本信息收集表见表A.1。</w:t>
      </w:r>
    </w:p>
    <w:p w14:paraId="6B7BD646">
      <w:pPr>
        <w:jc w:val="center"/>
        <w:rPr>
          <w:rFonts w:ascii="黑体" w:hAnsi="黑体" w:eastAsia="黑体" w:cs="黑体"/>
        </w:rPr>
      </w:pPr>
      <w:r>
        <w:rPr>
          <w:rFonts w:hint="eastAsia" w:ascii="黑体" w:hAnsi="黑体" w:eastAsia="黑体" w:cs="黑体"/>
        </w:rPr>
        <w:t>表A.1 企业基本信息收集表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56"/>
        <w:gridCol w:w="3272"/>
      </w:tblGrid>
      <w:tr w14:paraId="6A49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2"/>
          </w:tcPr>
          <w:p w14:paraId="32538E53">
            <w:pPr>
              <w:ind w:firstLine="0" w:firstLineChars="0"/>
            </w:pPr>
            <w:r>
              <w:rPr>
                <w:rFonts w:hint="eastAsia"/>
                <w:b/>
                <w:bCs/>
              </w:rPr>
              <w:t>1.企业名称</w:t>
            </w:r>
          </w:p>
        </w:tc>
      </w:tr>
      <w:tr w14:paraId="54C5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2"/>
          </w:tcPr>
          <w:p w14:paraId="0683DADF">
            <w:pPr>
              <w:ind w:firstLine="0" w:firstLineChars="0"/>
              <w:rPr>
                <w:b/>
                <w:bCs/>
              </w:rPr>
            </w:pPr>
            <w:r>
              <w:rPr>
                <w:rFonts w:hint="eastAsia"/>
                <w:b/>
                <w:bCs/>
              </w:rPr>
              <w:t>2.统一社会信用代码</w:t>
            </w:r>
          </w:p>
          <w:p w14:paraId="7A5A766F">
            <w:pPr>
              <w:ind w:firstLine="0" w:firstLineChars="0"/>
            </w:pPr>
            <w:r>
              <w:rPr>
                <w:rFonts w:hint="eastAsia"/>
                <w:b/>
                <w:bCs/>
              </w:rPr>
              <w:t>3.法定代表人</w:t>
            </w:r>
          </w:p>
        </w:tc>
      </w:tr>
      <w:tr w14:paraId="2E0A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2"/>
          </w:tcPr>
          <w:p w14:paraId="4EDBFB78">
            <w:pPr>
              <w:ind w:firstLine="0" w:firstLineChars="0"/>
              <w:rPr>
                <w:b/>
                <w:bCs/>
              </w:rPr>
            </w:pPr>
            <w:r>
              <w:rPr>
                <w:rFonts w:hint="eastAsia"/>
                <w:b/>
                <w:bCs/>
              </w:rPr>
              <w:t>4.企业生产经营地址</w:t>
            </w:r>
          </w:p>
          <w:p w14:paraId="670567A8">
            <w:pPr>
              <w:ind w:firstLine="0" w:firstLineChars="0"/>
            </w:pPr>
            <w:r>
              <w:rPr>
                <w:rFonts w:hint="eastAsia"/>
              </w:rPr>
              <w:t>_________省（自治区、直辖市）__________地区（市、州、盟）___________县（区、市、旗）_________街（村）、门牌号</w:t>
            </w:r>
          </w:p>
        </w:tc>
      </w:tr>
      <w:tr w14:paraId="6362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2"/>
          </w:tcPr>
          <w:p w14:paraId="23A237CD">
            <w:pPr>
              <w:ind w:firstLine="0" w:firstLineChars="0"/>
              <w:rPr>
                <w:b/>
                <w:bCs/>
              </w:rPr>
            </w:pPr>
            <w:r>
              <w:rPr>
                <w:rFonts w:hint="eastAsia"/>
                <w:b/>
                <w:bCs/>
              </w:rPr>
              <w:t>5.企业正门地理坐标</w:t>
            </w:r>
          </w:p>
          <w:p w14:paraId="6AC7A9F3">
            <w:pPr>
              <w:ind w:firstLine="0" w:firstLineChars="0"/>
            </w:pPr>
            <w:r>
              <w:rPr>
                <w:rFonts w:hint="eastAsia"/>
              </w:rPr>
              <w:t xml:space="preserve">        经度：        E；纬度：         N  </w:t>
            </w:r>
          </w:p>
        </w:tc>
      </w:tr>
      <w:tr w14:paraId="3435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2"/>
          </w:tcPr>
          <w:p w14:paraId="3E0BA05A">
            <w:pPr>
              <w:ind w:firstLine="0" w:firstLineChars="0"/>
            </w:pPr>
            <w:r>
              <w:rPr>
                <w:rFonts w:hint="eastAsia"/>
                <w:b/>
                <w:bCs/>
              </w:rPr>
              <w:t>6.企业占地面积（m</w:t>
            </w:r>
            <w:r>
              <w:rPr>
                <w:rFonts w:hint="eastAsia"/>
                <w:b/>
                <w:bCs/>
                <w:vertAlign w:val="superscript"/>
              </w:rPr>
              <w:t>2</w:t>
            </w:r>
            <w:r>
              <w:rPr>
                <w:rFonts w:hint="eastAsia"/>
                <w:b/>
                <w:bCs/>
              </w:rPr>
              <w:t>）</w:t>
            </w:r>
          </w:p>
        </w:tc>
      </w:tr>
      <w:tr w14:paraId="4524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2"/>
          </w:tcPr>
          <w:p w14:paraId="660DF887">
            <w:pPr>
              <w:ind w:firstLine="0" w:firstLineChars="0"/>
            </w:pPr>
            <w:r>
              <w:rPr>
                <w:rFonts w:hint="eastAsia"/>
                <w:b/>
                <w:bCs/>
              </w:rPr>
              <w:t xml:space="preserve">7.行业类别 </w:t>
            </w:r>
            <w:r>
              <w:rPr>
                <w:rFonts w:hint="eastAsia"/>
              </w:rPr>
              <w:t xml:space="preserve">            行业代码</w:t>
            </w:r>
            <w:r>
              <w:rPr>
                <w:rFonts w:hint="eastAsia"/>
              </w:rPr>
              <w:sym w:font="Wingdings 2" w:char="00A3"/>
            </w:r>
            <w:r>
              <w:rPr>
                <w:rFonts w:hint="eastAsia"/>
              </w:rPr>
              <w:sym w:font="Wingdings 2" w:char="00A3"/>
            </w:r>
            <w:r>
              <w:rPr>
                <w:rFonts w:hint="eastAsia"/>
              </w:rPr>
              <w:sym w:font="Wingdings 2" w:char="00A3"/>
            </w:r>
            <w:r>
              <w:rPr>
                <w:rFonts w:hint="eastAsia"/>
              </w:rPr>
              <w:sym w:font="Wingdings 2" w:char="00A3"/>
            </w:r>
          </w:p>
        </w:tc>
      </w:tr>
      <w:tr w14:paraId="00C8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6" w:type="dxa"/>
          </w:tcPr>
          <w:p w14:paraId="1DAA4CA0">
            <w:pPr>
              <w:ind w:firstLine="0" w:firstLineChars="0"/>
            </w:pPr>
            <w:r>
              <w:rPr>
                <w:rFonts w:hint="eastAsia"/>
                <w:b/>
                <w:bCs/>
              </w:rPr>
              <w:t>8.企业规模</w:t>
            </w:r>
            <w:r>
              <w:rPr>
                <w:rFonts w:hint="eastAsia"/>
              </w:rPr>
              <w:t xml:space="preserve"> </w:t>
            </w:r>
            <w:r>
              <w:rPr>
                <w:rFonts w:hint="eastAsia"/>
              </w:rPr>
              <w:sym w:font="Wingdings 2" w:char="00A3"/>
            </w:r>
            <w:r>
              <w:rPr>
                <w:rFonts w:hint="eastAsia"/>
              </w:rPr>
              <w:t xml:space="preserve">大型 </w:t>
            </w:r>
            <w:r>
              <w:rPr>
                <w:rFonts w:hint="eastAsia"/>
              </w:rPr>
              <w:sym w:font="Wingdings 2" w:char="00A3"/>
            </w:r>
            <w:r>
              <w:rPr>
                <w:rFonts w:hint="eastAsia"/>
              </w:rPr>
              <w:t xml:space="preserve">中型 </w:t>
            </w:r>
            <w:r>
              <w:rPr>
                <w:rFonts w:hint="eastAsia"/>
              </w:rPr>
              <w:sym w:font="Wingdings 2" w:char="00A3"/>
            </w:r>
            <w:r>
              <w:rPr>
                <w:rFonts w:hint="eastAsia"/>
              </w:rPr>
              <w:t xml:space="preserve">小型 </w:t>
            </w:r>
            <w:r>
              <w:rPr>
                <w:rFonts w:hint="eastAsia"/>
              </w:rPr>
              <w:sym w:font="Wingdings 2" w:char="00A3"/>
            </w:r>
            <w:r>
              <w:rPr>
                <w:rFonts w:hint="eastAsia"/>
              </w:rPr>
              <w:t>微型</w:t>
            </w:r>
          </w:p>
        </w:tc>
        <w:tc>
          <w:tcPr>
            <w:tcW w:w="3272" w:type="dxa"/>
          </w:tcPr>
          <w:p w14:paraId="2943DE34">
            <w:pPr>
              <w:ind w:firstLine="0" w:firstLineChars="0"/>
            </w:pPr>
            <w:r>
              <w:rPr>
                <w:rFonts w:hint="eastAsia"/>
                <w:b/>
                <w:bCs/>
              </w:rPr>
              <w:t>9.成立时间</w:t>
            </w:r>
            <w:r>
              <w:rPr>
                <w:rFonts w:hint="eastAsia"/>
              </w:rPr>
              <w:t xml:space="preserve">     年</w:t>
            </w:r>
          </w:p>
        </w:tc>
      </w:tr>
      <w:tr w14:paraId="6C9D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2"/>
          </w:tcPr>
          <w:p w14:paraId="60B0DBBB">
            <w:pPr>
              <w:ind w:firstLine="0" w:firstLineChars="0"/>
              <w:rPr>
                <w:b/>
                <w:bCs/>
              </w:rPr>
            </w:pPr>
            <w:r>
              <w:rPr>
                <w:rFonts w:hint="eastAsia"/>
                <w:b/>
                <w:bCs/>
              </w:rPr>
              <w:t>10.企业总平面布置图（附图）</w:t>
            </w:r>
          </w:p>
          <w:p w14:paraId="749EC10F">
            <w:pPr>
              <w:ind w:firstLine="0" w:firstLineChars="0"/>
            </w:pPr>
          </w:p>
          <w:p w14:paraId="1D2B3E57">
            <w:pPr>
              <w:ind w:firstLine="0" w:firstLineChars="0"/>
            </w:pPr>
          </w:p>
          <w:p w14:paraId="4728EDE7">
            <w:pPr>
              <w:ind w:firstLine="0" w:firstLineChars="0"/>
            </w:pPr>
          </w:p>
          <w:p w14:paraId="20A30625">
            <w:pPr>
              <w:ind w:firstLine="0" w:firstLineChars="0"/>
            </w:pPr>
          </w:p>
          <w:p w14:paraId="105F98E3">
            <w:pPr>
              <w:ind w:firstLine="0" w:firstLineChars="0"/>
            </w:pPr>
          </w:p>
        </w:tc>
      </w:tr>
      <w:tr w14:paraId="0660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2"/>
          </w:tcPr>
          <w:p w14:paraId="1FC9B9FC">
            <w:pPr>
              <w:ind w:firstLine="0" w:firstLineChars="0"/>
            </w:pPr>
            <w:r>
              <w:rPr>
                <w:b/>
                <w:bCs/>
              </w:rPr>
              <w:t>11.</w:t>
            </w:r>
            <w:r>
              <w:rPr>
                <w:rFonts w:hint="eastAsia"/>
                <w:b/>
                <w:bCs/>
              </w:rPr>
              <w:t>所在区域自然环境要素</w:t>
            </w:r>
          </w:p>
        </w:tc>
      </w:tr>
      <w:tr w14:paraId="622D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6" w:type="dxa"/>
          </w:tcPr>
          <w:p w14:paraId="3478AEE6">
            <w:pPr>
              <w:ind w:firstLine="0" w:firstLineChars="0"/>
            </w:pPr>
            <w:r>
              <w:rPr>
                <w:rFonts w:hint="eastAsia"/>
                <w:b/>
                <w:bCs/>
              </w:rPr>
              <w:t>地形地貌（选填）</w:t>
            </w:r>
            <w:r>
              <w:rPr>
                <w:rFonts w:hint="eastAsia"/>
              </w:rPr>
              <w:t xml:space="preserve"> </w:t>
            </w:r>
            <w:r>
              <w:rPr>
                <w:rFonts w:hint="eastAsia"/>
              </w:rPr>
              <w:sym w:font="Wingdings 2" w:char="00A3"/>
            </w:r>
            <w:r>
              <w:rPr>
                <w:rFonts w:hint="eastAsia"/>
              </w:rPr>
              <w:t xml:space="preserve">冲洪积扇 </w:t>
            </w:r>
            <w:r>
              <w:rPr>
                <w:rFonts w:hint="eastAsia"/>
              </w:rPr>
              <w:sym w:font="Wingdings 2" w:char="00A3"/>
            </w:r>
            <w:r>
              <w:rPr>
                <w:rFonts w:hint="eastAsia"/>
              </w:rPr>
              <w:t xml:space="preserve">河谷平原 </w:t>
            </w:r>
            <w:r>
              <w:rPr>
                <w:rFonts w:hint="eastAsia"/>
              </w:rPr>
              <w:sym w:font="Wingdings 2" w:char="00A3"/>
            </w:r>
            <w:r>
              <w:rPr>
                <w:rFonts w:hint="eastAsia"/>
              </w:rPr>
              <w:t>滨海平原</w:t>
            </w:r>
          </w:p>
        </w:tc>
        <w:tc>
          <w:tcPr>
            <w:tcW w:w="3272" w:type="dxa"/>
          </w:tcPr>
          <w:p w14:paraId="02C3F39D">
            <w:pPr>
              <w:ind w:firstLine="0" w:firstLineChars="0"/>
            </w:pPr>
            <w:r>
              <w:rPr>
                <w:rFonts w:hint="eastAsia"/>
                <w:b/>
                <w:bCs/>
              </w:rPr>
              <w:t>地层结构与岩性</w:t>
            </w:r>
          </w:p>
        </w:tc>
      </w:tr>
      <w:tr w14:paraId="4E15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6" w:type="dxa"/>
          </w:tcPr>
          <w:p w14:paraId="0BE8CF91">
            <w:pPr>
              <w:ind w:firstLine="0" w:firstLineChars="0"/>
              <w:rPr>
                <w:b/>
                <w:bCs/>
              </w:rPr>
            </w:pPr>
            <w:r>
              <w:rPr>
                <w:rFonts w:hint="eastAsia"/>
                <w:b/>
                <w:bCs/>
              </w:rPr>
              <w:t>距最近的河流距离（km）（选填）</w:t>
            </w:r>
          </w:p>
        </w:tc>
        <w:tc>
          <w:tcPr>
            <w:tcW w:w="3272" w:type="dxa"/>
          </w:tcPr>
          <w:p w14:paraId="227BFCA4">
            <w:pPr>
              <w:ind w:firstLine="0" w:firstLineChars="0"/>
              <w:rPr>
                <w:b/>
                <w:bCs/>
              </w:rPr>
            </w:pPr>
            <w:r>
              <w:rPr>
                <w:rFonts w:hint="eastAsia"/>
                <w:b/>
                <w:bCs/>
              </w:rPr>
              <w:t>区域平均气温（℃）</w:t>
            </w:r>
          </w:p>
        </w:tc>
      </w:tr>
      <w:tr w14:paraId="193D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6" w:type="dxa"/>
          </w:tcPr>
          <w:p w14:paraId="51A167E9">
            <w:pPr>
              <w:ind w:firstLine="0" w:firstLineChars="0"/>
              <w:rPr>
                <w:b/>
                <w:bCs/>
              </w:rPr>
            </w:pPr>
            <w:r>
              <w:rPr>
                <w:rFonts w:hint="eastAsia"/>
                <w:b/>
                <w:bCs/>
              </w:rPr>
              <w:t>区域平均湿度（%）</w:t>
            </w:r>
          </w:p>
        </w:tc>
        <w:tc>
          <w:tcPr>
            <w:tcW w:w="3272" w:type="dxa"/>
          </w:tcPr>
          <w:p w14:paraId="1AF2FF3F">
            <w:pPr>
              <w:ind w:firstLine="0" w:firstLineChars="0"/>
              <w:rPr>
                <w:b/>
                <w:bCs/>
              </w:rPr>
            </w:pPr>
            <w:r>
              <w:rPr>
                <w:rFonts w:hint="eastAsia"/>
                <w:b/>
                <w:bCs/>
              </w:rPr>
              <w:t>区域平均风速（m/s）</w:t>
            </w:r>
          </w:p>
        </w:tc>
      </w:tr>
      <w:tr w14:paraId="0A1D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6" w:type="dxa"/>
          </w:tcPr>
          <w:p w14:paraId="614A7F69">
            <w:pPr>
              <w:ind w:firstLine="0" w:firstLineChars="0"/>
              <w:rPr>
                <w:b/>
                <w:bCs/>
              </w:rPr>
            </w:pPr>
            <w:r>
              <w:rPr>
                <w:rFonts w:hint="eastAsia"/>
                <w:b/>
                <w:bCs/>
              </w:rPr>
              <w:t>风向</w:t>
            </w:r>
          </w:p>
        </w:tc>
        <w:tc>
          <w:tcPr>
            <w:tcW w:w="3272" w:type="dxa"/>
          </w:tcPr>
          <w:p w14:paraId="387FD1B3">
            <w:pPr>
              <w:ind w:firstLine="0" w:firstLineChars="0"/>
              <w:rPr>
                <w:b/>
                <w:bCs/>
              </w:rPr>
            </w:pPr>
            <w:r>
              <w:rPr>
                <w:rFonts w:hint="eastAsia"/>
                <w:b/>
                <w:bCs/>
              </w:rPr>
              <w:t>区域年平均降雨量（mm）</w:t>
            </w:r>
          </w:p>
        </w:tc>
      </w:tr>
      <w:tr w14:paraId="0201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6" w:type="dxa"/>
          </w:tcPr>
          <w:p w14:paraId="160AC658">
            <w:pPr>
              <w:ind w:firstLine="0" w:firstLineChars="0"/>
            </w:pPr>
            <w:r>
              <w:rPr>
                <w:rFonts w:hint="eastAsia"/>
                <w:b/>
                <w:bCs/>
              </w:rPr>
              <w:t>地下水位埋深（m）</w:t>
            </w:r>
          </w:p>
        </w:tc>
        <w:tc>
          <w:tcPr>
            <w:tcW w:w="3272" w:type="dxa"/>
          </w:tcPr>
          <w:p w14:paraId="754F53C0">
            <w:pPr>
              <w:ind w:firstLine="0" w:firstLineChars="0"/>
            </w:pPr>
            <w:r>
              <w:rPr>
                <w:rFonts w:hint="eastAsia"/>
                <w:b/>
                <w:bCs/>
              </w:rPr>
              <w:t>地下水流向</w:t>
            </w:r>
          </w:p>
        </w:tc>
      </w:tr>
    </w:tbl>
    <w:p w14:paraId="14A5520A"/>
    <w:p w14:paraId="51DC9277"/>
    <w:p w14:paraId="359313D3">
      <w:pPr>
        <w:pStyle w:val="2"/>
        <w:spacing w:line="240" w:lineRule="auto"/>
        <w:jc w:val="center"/>
        <w:rPr>
          <w:color w:val="000000" w:themeColor="text1"/>
          <w:szCs w:val="21"/>
          <w14:textFill>
            <w14:solidFill>
              <w14:schemeClr w14:val="tx1"/>
            </w14:solidFill>
          </w14:textFill>
        </w:rPr>
      </w:pPr>
      <w:bookmarkStart w:id="22" w:name="_Toc28873"/>
      <w:r>
        <w:rPr>
          <w:rFonts w:hint="eastAsia"/>
          <w:color w:val="000000" w:themeColor="text1"/>
          <w:szCs w:val="21"/>
          <w14:textFill>
            <w14:solidFill>
              <w14:schemeClr w14:val="tx1"/>
            </w14:solidFill>
          </w14:textFill>
        </w:rPr>
        <w:t>附录B</w:t>
      </w:r>
      <w:bookmarkEnd w:id="22"/>
      <w:bookmarkStart w:id="23" w:name="_Toc28791"/>
      <w:r>
        <w:rPr>
          <w:rFonts w:hint="eastAsia"/>
          <w:color w:val="000000" w:themeColor="text1"/>
          <w:szCs w:val="21"/>
          <w14:textFill>
            <w14:solidFill>
              <w14:schemeClr w14:val="tx1"/>
            </w14:solidFill>
          </w14:textFill>
        </w:rPr>
        <w:t>（资料性）</w:t>
      </w:r>
      <w:r>
        <w:rPr>
          <w:rFonts w:hint="eastAsia" w:ascii="黑体" w:hAnsi="黑体" w:eastAsia="黑体" w:cs="Times New Roman"/>
          <w:color w:val="000000" w:themeColor="text1"/>
          <w:sz w:val="21"/>
          <w:szCs w:val="21"/>
          <w14:textFill>
            <w14:solidFill>
              <w14:schemeClr w14:val="tx1"/>
            </w14:solidFill>
          </w14:textFill>
        </w:rPr>
        <w:t>生产及储运区信息收集表</w:t>
      </w:r>
    </w:p>
    <w:bookmarkEnd w:id="23"/>
    <w:p w14:paraId="06BC64FD">
      <w:pPr>
        <w:pStyle w:val="9"/>
        <w:jc w:val="left"/>
        <w:rPr>
          <w:rFonts w:ascii="Times New Roman" w:hAnsi="Times New Roman" w:eastAsia="宋体" w:cs="宋体"/>
          <w:sz w:val="21"/>
        </w:rPr>
      </w:pPr>
      <w:r>
        <w:rPr>
          <w:rFonts w:hint="eastAsia" w:ascii="Times New Roman" w:hAnsi="Times New Roman" w:eastAsia="宋体" w:cs="宋体"/>
          <w:sz w:val="21"/>
        </w:rPr>
        <w:t>生产及储运区信息收集表见表B.1</w:t>
      </w:r>
    </w:p>
    <w:p w14:paraId="3D63DEEF">
      <w:pPr>
        <w:pStyle w:val="9"/>
        <w:ind w:firstLine="0" w:firstLineChars="0"/>
        <w:jc w:val="center"/>
        <w:rPr>
          <w:rFonts w:ascii="黑体" w:hAnsi="黑体" w:cs="黑体"/>
          <w:sz w:val="21"/>
        </w:rPr>
      </w:pPr>
      <w:r>
        <w:rPr>
          <w:rFonts w:hint="eastAsia" w:ascii="黑体" w:hAnsi="黑体" w:cs="黑体"/>
          <w:sz w:val="21"/>
        </w:rPr>
        <w:t>表B.1生产及储运区信息收集表</w:t>
      </w:r>
    </w:p>
    <w:tbl>
      <w:tblPr>
        <w:tblStyle w:val="29"/>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396"/>
        <w:gridCol w:w="2318"/>
        <w:gridCol w:w="3084"/>
        <w:gridCol w:w="1731"/>
      </w:tblGrid>
      <w:tr w14:paraId="5C22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1396" w:type="dxa"/>
            <w:shd w:val="clear" w:color="auto" w:fill="FFFFFF"/>
            <w:tcMar>
              <w:top w:w="150" w:type="dxa"/>
              <w:left w:w="0" w:type="dxa"/>
              <w:bottom w:w="150" w:type="dxa"/>
              <w:right w:w="240" w:type="dxa"/>
            </w:tcMar>
            <w:vAlign w:val="center"/>
          </w:tcPr>
          <w:p w14:paraId="11A67AC5">
            <w:pPr>
              <w:widowControl/>
              <w:snapToGrid w:val="0"/>
              <w:spacing w:line="240" w:lineRule="auto"/>
              <w:ind w:firstLine="0" w:firstLineChars="0"/>
              <w:jc w:val="center"/>
              <w:rPr>
                <w:rFonts w:asciiTheme="minorEastAsia" w:hAnsiTheme="minorEastAsia" w:eastAsiaTheme="minorEastAsia" w:cstheme="minorEastAsia"/>
                <w:b/>
                <w:color w:val="0F1115"/>
                <w:szCs w:val="21"/>
              </w:rPr>
            </w:pPr>
            <w:r>
              <w:rPr>
                <w:rFonts w:hint="eastAsia" w:asciiTheme="minorEastAsia" w:hAnsiTheme="minorEastAsia" w:eastAsiaTheme="minorEastAsia" w:cstheme="minorEastAsia"/>
                <w:b/>
                <w:color w:val="0F1115"/>
                <w:kern w:val="0"/>
                <w:szCs w:val="21"/>
                <w:lang w:bidi="ar"/>
              </w:rPr>
              <w:t>大类</w:t>
            </w:r>
          </w:p>
        </w:tc>
        <w:tc>
          <w:tcPr>
            <w:tcW w:w="2318" w:type="dxa"/>
            <w:shd w:val="clear" w:color="auto" w:fill="FFFFFF"/>
            <w:tcMar>
              <w:top w:w="150" w:type="dxa"/>
              <w:left w:w="240" w:type="dxa"/>
              <w:bottom w:w="150" w:type="dxa"/>
              <w:right w:w="240" w:type="dxa"/>
            </w:tcMar>
            <w:vAlign w:val="center"/>
          </w:tcPr>
          <w:p w14:paraId="0F1E2866">
            <w:pPr>
              <w:widowControl/>
              <w:snapToGrid w:val="0"/>
              <w:spacing w:line="240" w:lineRule="auto"/>
              <w:ind w:firstLine="0" w:firstLineChars="0"/>
              <w:jc w:val="center"/>
              <w:rPr>
                <w:rFonts w:asciiTheme="minorEastAsia" w:hAnsiTheme="minorEastAsia" w:eastAsiaTheme="minorEastAsia" w:cstheme="minorEastAsia"/>
                <w:b/>
                <w:color w:val="0F1115"/>
                <w:szCs w:val="21"/>
              </w:rPr>
            </w:pPr>
            <w:r>
              <w:rPr>
                <w:rFonts w:hint="eastAsia" w:asciiTheme="minorEastAsia" w:hAnsiTheme="minorEastAsia" w:eastAsiaTheme="minorEastAsia" w:cstheme="minorEastAsia"/>
                <w:b/>
                <w:color w:val="0F1115"/>
                <w:kern w:val="0"/>
                <w:szCs w:val="21"/>
                <w:lang w:bidi="ar"/>
              </w:rPr>
              <w:t>采集信息项</w:t>
            </w:r>
          </w:p>
        </w:tc>
        <w:tc>
          <w:tcPr>
            <w:tcW w:w="3084" w:type="dxa"/>
            <w:shd w:val="clear" w:color="auto" w:fill="FFFFFF"/>
            <w:tcMar>
              <w:top w:w="150" w:type="dxa"/>
              <w:left w:w="240" w:type="dxa"/>
              <w:bottom w:w="150" w:type="dxa"/>
              <w:right w:w="240" w:type="dxa"/>
            </w:tcMar>
            <w:vAlign w:val="center"/>
          </w:tcPr>
          <w:p w14:paraId="409C5B75">
            <w:pPr>
              <w:widowControl/>
              <w:snapToGrid w:val="0"/>
              <w:spacing w:line="240" w:lineRule="auto"/>
              <w:ind w:firstLine="0" w:firstLineChars="0"/>
              <w:jc w:val="center"/>
              <w:rPr>
                <w:rFonts w:asciiTheme="minorEastAsia" w:hAnsiTheme="minorEastAsia" w:eastAsiaTheme="minorEastAsia" w:cstheme="minorEastAsia"/>
                <w:b/>
                <w:color w:val="0F1115"/>
                <w:szCs w:val="21"/>
              </w:rPr>
            </w:pPr>
            <w:r>
              <w:rPr>
                <w:rFonts w:hint="eastAsia" w:asciiTheme="minorEastAsia" w:hAnsiTheme="minorEastAsia" w:eastAsiaTheme="minorEastAsia" w:cstheme="minorEastAsia"/>
                <w:b/>
                <w:color w:val="0F1115"/>
                <w:kern w:val="0"/>
                <w:szCs w:val="21"/>
                <w:lang w:bidi="ar"/>
              </w:rPr>
              <w:t>信息记录/结果</w:t>
            </w:r>
          </w:p>
        </w:tc>
        <w:tc>
          <w:tcPr>
            <w:tcW w:w="1731" w:type="dxa"/>
            <w:shd w:val="clear" w:color="auto" w:fill="FFFFFF"/>
            <w:tcMar>
              <w:top w:w="150" w:type="dxa"/>
              <w:left w:w="240" w:type="dxa"/>
              <w:bottom w:w="150" w:type="dxa"/>
              <w:right w:w="240" w:type="dxa"/>
            </w:tcMar>
            <w:vAlign w:val="center"/>
          </w:tcPr>
          <w:p w14:paraId="3F7CB6F0">
            <w:pPr>
              <w:widowControl/>
              <w:snapToGrid w:val="0"/>
              <w:spacing w:line="240" w:lineRule="auto"/>
              <w:ind w:firstLine="0" w:firstLineChars="0"/>
              <w:jc w:val="center"/>
              <w:rPr>
                <w:rFonts w:asciiTheme="minorEastAsia" w:hAnsiTheme="minorEastAsia" w:eastAsiaTheme="minorEastAsia" w:cstheme="minorEastAsia"/>
                <w:b/>
                <w:color w:val="0F1115"/>
                <w:szCs w:val="21"/>
              </w:rPr>
            </w:pPr>
            <w:r>
              <w:rPr>
                <w:rFonts w:hint="eastAsia" w:asciiTheme="minorEastAsia" w:hAnsiTheme="minorEastAsia" w:eastAsiaTheme="minorEastAsia" w:cstheme="minorEastAsia"/>
                <w:b/>
                <w:color w:val="0F1115"/>
                <w:kern w:val="0"/>
                <w:szCs w:val="21"/>
                <w:lang w:bidi="ar"/>
              </w:rPr>
              <w:t>检查情况/备注</w:t>
            </w:r>
          </w:p>
        </w:tc>
      </w:tr>
      <w:tr w14:paraId="156D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396" w:type="dxa"/>
            <w:vMerge w:val="restart"/>
            <w:shd w:val="clear" w:color="auto" w:fill="FFFFFF"/>
            <w:tcMar>
              <w:top w:w="150" w:type="dxa"/>
              <w:left w:w="0" w:type="dxa"/>
              <w:bottom w:w="150" w:type="dxa"/>
              <w:right w:w="240" w:type="dxa"/>
            </w:tcMar>
            <w:vAlign w:val="center"/>
          </w:tcPr>
          <w:p w14:paraId="52944B12">
            <w:pPr>
              <w:widowControl/>
              <w:snapToGrid w:val="0"/>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b/>
                <w:bCs/>
                <w:color w:val="0F1115"/>
                <w:szCs w:val="21"/>
              </w:rPr>
              <w:t>人员信息</w:t>
            </w:r>
          </w:p>
        </w:tc>
        <w:tc>
          <w:tcPr>
            <w:tcW w:w="2318" w:type="dxa"/>
            <w:shd w:val="clear" w:color="auto" w:fill="FFFFFF"/>
            <w:tcMar>
              <w:top w:w="150" w:type="dxa"/>
              <w:left w:w="240" w:type="dxa"/>
              <w:bottom w:w="150" w:type="dxa"/>
              <w:right w:w="240" w:type="dxa"/>
            </w:tcMar>
            <w:vAlign w:val="center"/>
          </w:tcPr>
          <w:p w14:paraId="09840495">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相关岗位操作人员</w:t>
            </w:r>
          </w:p>
        </w:tc>
        <w:tc>
          <w:tcPr>
            <w:tcW w:w="3084" w:type="dxa"/>
            <w:shd w:val="clear" w:color="auto" w:fill="FFFFFF"/>
            <w:tcMar>
              <w:top w:w="150" w:type="dxa"/>
              <w:left w:w="240" w:type="dxa"/>
              <w:bottom w:w="150" w:type="dxa"/>
              <w:right w:w="240" w:type="dxa"/>
            </w:tcMar>
            <w:vAlign w:val="center"/>
          </w:tcPr>
          <w:p w14:paraId="7647785A">
            <w:pPr>
              <w:widowControl/>
              <w:snapToGrid w:val="0"/>
              <w:spacing w:line="240" w:lineRule="auto"/>
              <w:ind w:firstLine="0" w:firstLineChars="0"/>
              <w:rPr>
                <w:rFonts w:asciiTheme="minorEastAsia" w:hAnsiTheme="minorEastAsia" w:eastAsiaTheme="minorEastAsia" w:cstheme="minorEastAsia"/>
                <w:color w:val="0F1115"/>
                <w:kern w:val="0"/>
                <w:szCs w:val="21"/>
                <w:lang w:bidi="ar"/>
              </w:rPr>
            </w:pPr>
            <w:r>
              <w:rPr>
                <w:rFonts w:hint="eastAsia" w:asciiTheme="minorEastAsia" w:hAnsiTheme="minorEastAsia" w:eastAsiaTheme="minorEastAsia" w:cstheme="minorEastAsia"/>
                <w:color w:val="0F1115"/>
                <w:kern w:val="0"/>
                <w:szCs w:val="21"/>
                <w:lang w:bidi="ar"/>
              </w:rPr>
              <w:t>姓名：________</w:t>
            </w:r>
          </w:p>
          <w:p w14:paraId="6E7C8837">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联系电话：________</w:t>
            </w:r>
          </w:p>
        </w:tc>
        <w:tc>
          <w:tcPr>
            <w:tcW w:w="1731" w:type="dxa"/>
            <w:shd w:val="clear" w:color="auto" w:fill="FFFFFF"/>
            <w:tcMar>
              <w:top w:w="150" w:type="dxa"/>
              <w:left w:w="240" w:type="dxa"/>
              <w:bottom w:w="150" w:type="dxa"/>
              <w:right w:w="0" w:type="dxa"/>
            </w:tcMar>
            <w:vAlign w:val="center"/>
          </w:tcPr>
          <w:p w14:paraId="2DD02065">
            <w:pPr>
              <w:widowControl/>
              <w:snapToGrid w:val="0"/>
              <w:ind w:firstLine="0" w:firstLineChars="0"/>
              <w:rPr>
                <w:rFonts w:asciiTheme="minorEastAsia" w:hAnsiTheme="minorEastAsia" w:eastAsiaTheme="minorEastAsia" w:cstheme="minorEastAsia"/>
                <w:color w:val="0F1115"/>
                <w:szCs w:val="21"/>
              </w:rPr>
            </w:pPr>
          </w:p>
        </w:tc>
      </w:tr>
      <w:tr w14:paraId="690C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396" w:type="dxa"/>
            <w:vMerge w:val="continue"/>
            <w:shd w:val="clear" w:color="auto" w:fill="FFFFFF"/>
            <w:tcMar>
              <w:top w:w="150" w:type="dxa"/>
              <w:left w:w="0" w:type="dxa"/>
              <w:bottom w:w="150" w:type="dxa"/>
              <w:right w:w="240" w:type="dxa"/>
            </w:tcMar>
            <w:vAlign w:val="center"/>
          </w:tcPr>
          <w:p w14:paraId="5D96B1DF">
            <w:pPr>
              <w:widowControl/>
              <w:snapToGrid w:val="0"/>
              <w:ind w:firstLine="0" w:firstLineChars="0"/>
              <w:jc w:val="center"/>
              <w:rPr>
                <w:rFonts w:asciiTheme="minorEastAsia" w:hAnsiTheme="minorEastAsia" w:eastAsiaTheme="minorEastAsia" w:cstheme="minorEastAsia"/>
                <w:color w:val="0F1115"/>
                <w:szCs w:val="21"/>
              </w:rPr>
            </w:pPr>
          </w:p>
        </w:tc>
        <w:tc>
          <w:tcPr>
            <w:tcW w:w="2318" w:type="dxa"/>
            <w:shd w:val="clear" w:color="auto" w:fill="FFFFFF"/>
            <w:tcMar>
              <w:top w:w="150" w:type="dxa"/>
              <w:left w:w="240" w:type="dxa"/>
              <w:bottom w:w="150" w:type="dxa"/>
              <w:right w:w="240" w:type="dxa"/>
            </w:tcMar>
            <w:vAlign w:val="center"/>
          </w:tcPr>
          <w:p w14:paraId="354C7302">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工艺操作、设备维护泄漏应急处理及职业病危害培训记录</w:t>
            </w:r>
          </w:p>
        </w:tc>
        <w:tc>
          <w:tcPr>
            <w:tcW w:w="3084" w:type="dxa"/>
            <w:shd w:val="clear" w:color="auto" w:fill="FFFFFF"/>
            <w:tcMar>
              <w:top w:w="150" w:type="dxa"/>
              <w:left w:w="240" w:type="dxa"/>
              <w:bottom w:w="150" w:type="dxa"/>
              <w:right w:w="240" w:type="dxa"/>
            </w:tcMar>
            <w:vAlign w:val="center"/>
          </w:tcPr>
          <w:p w14:paraId="3E8C864A">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□已获得并查看 □未获得</w:t>
            </w:r>
            <w:r>
              <w:rPr>
                <w:rFonts w:hint="eastAsia" w:asciiTheme="minorEastAsia" w:hAnsiTheme="minorEastAsia" w:eastAsiaTheme="minorEastAsia" w:cstheme="minorEastAsia"/>
                <w:color w:val="0F1115"/>
                <w:kern w:val="0"/>
                <w:szCs w:val="21"/>
                <w:lang w:bidi="ar"/>
              </w:rPr>
              <w:br w:type="textWrapping"/>
            </w:r>
            <w:r>
              <w:rPr>
                <w:rStyle w:val="32"/>
                <w:rFonts w:hint="eastAsia" w:asciiTheme="minorEastAsia" w:hAnsiTheme="minorEastAsia" w:eastAsiaTheme="minorEastAsia" w:cstheme="minorEastAsia"/>
                <w:b w:val="0"/>
                <w:color w:val="0F1115"/>
                <w:kern w:val="0"/>
                <w:szCs w:val="21"/>
                <w:lang w:bidi="ar"/>
              </w:rPr>
              <w:t>培训内容：</w:t>
            </w:r>
            <w:r>
              <w:rPr>
                <w:rFonts w:hint="eastAsia" w:asciiTheme="minorEastAsia" w:hAnsiTheme="minorEastAsia" w:eastAsiaTheme="minorEastAsia" w:cstheme="minorEastAsia"/>
                <w:color w:val="0F1115"/>
                <w:kern w:val="0"/>
                <w:szCs w:val="21"/>
                <w:lang w:bidi="ar"/>
              </w:rPr>
              <w:t> _____________</w:t>
            </w:r>
          </w:p>
        </w:tc>
        <w:tc>
          <w:tcPr>
            <w:tcW w:w="1731" w:type="dxa"/>
            <w:shd w:val="clear" w:color="auto" w:fill="FFFFFF"/>
            <w:tcMar>
              <w:top w:w="150" w:type="dxa"/>
              <w:left w:w="240" w:type="dxa"/>
              <w:bottom w:w="150" w:type="dxa"/>
              <w:right w:w="0" w:type="dxa"/>
            </w:tcMar>
            <w:vAlign w:val="center"/>
          </w:tcPr>
          <w:p w14:paraId="2D2B24F9">
            <w:pPr>
              <w:widowControl/>
              <w:snapToGrid w:val="0"/>
              <w:ind w:firstLine="0" w:firstLineChars="0"/>
              <w:rPr>
                <w:rFonts w:asciiTheme="minorEastAsia" w:hAnsiTheme="minorEastAsia" w:eastAsiaTheme="minorEastAsia" w:cstheme="minorEastAsia"/>
                <w:color w:val="0F1115"/>
                <w:szCs w:val="21"/>
              </w:rPr>
            </w:pPr>
          </w:p>
        </w:tc>
      </w:tr>
      <w:tr w14:paraId="6763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396" w:type="dxa"/>
            <w:vMerge w:val="restart"/>
            <w:shd w:val="clear" w:color="auto" w:fill="FFFFFF"/>
            <w:tcMar>
              <w:top w:w="150" w:type="dxa"/>
              <w:left w:w="0" w:type="dxa"/>
              <w:bottom w:w="150" w:type="dxa"/>
              <w:right w:w="240" w:type="dxa"/>
            </w:tcMar>
            <w:vAlign w:val="center"/>
          </w:tcPr>
          <w:p w14:paraId="6CF09A45">
            <w:pPr>
              <w:widowControl/>
              <w:snapToGrid w:val="0"/>
              <w:spacing w:line="240" w:lineRule="auto"/>
              <w:ind w:firstLine="0" w:firstLineChars="0"/>
              <w:jc w:val="center"/>
              <w:rPr>
                <w:rFonts w:asciiTheme="minorEastAsia" w:hAnsiTheme="minorEastAsia" w:eastAsiaTheme="minorEastAsia" w:cstheme="minorEastAsia"/>
                <w:color w:val="0F1115"/>
                <w:szCs w:val="21"/>
              </w:rPr>
            </w:pPr>
            <w:r>
              <w:rPr>
                <w:rStyle w:val="32"/>
                <w:rFonts w:hint="eastAsia" w:asciiTheme="minorEastAsia" w:hAnsiTheme="minorEastAsia" w:eastAsiaTheme="minorEastAsia" w:cstheme="minorEastAsia"/>
                <w:bCs/>
                <w:color w:val="0F1115"/>
                <w:kern w:val="0"/>
                <w:szCs w:val="21"/>
                <w:lang w:bidi="ar"/>
              </w:rPr>
              <w:t>设施与物料</w:t>
            </w:r>
          </w:p>
        </w:tc>
        <w:tc>
          <w:tcPr>
            <w:tcW w:w="2318" w:type="dxa"/>
            <w:shd w:val="clear" w:color="auto" w:fill="FFFFFF"/>
            <w:tcMar>
              <w:top w:w="150" w:type="dxa"/>
              <w:left w:w="240" w:type="dxa"/>
              <w:bottom w:w="150" w:type="dxa"/>
              <w:right w:w="240" w:type="dxa"/>
            </w:tcMar>
            <w:vAlign w:val="center"/>
          </w:tcPr>
          <w:p w14:paraId="676D8970">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关键生产设备、储运设施清单及技术参数</w:t>
            </w:r>
          </w:p>
        </w:tc>
        <w:tc>
          <w:tcPr>
            <w:tcW w:w="3084" w:type="dxa"/>
            <w:shd w:val="clear" w:color="auto" w:fill="FFFFFF"/>
            <w:tcMar>
              <w:top w:w="150" w:type="dxa"/>
              <w:left w:w="240" w:type="dxa"/>
              <w:bottom w:w="150" w:type="dxa"/>
              <w:right w:w="240" w:type="dxa"/>
            </w:tcMar>
            <w:vAlign w:val="center"/>
          </w:tcPr>
          <w:p w14:paraId="5E21DE56">
            <w:pPr>
              <w:widowControl/>
              <w:snapToGrid w:val="0"/>
              <w:spacing w:line="240" w:lineRule="auto"/>
              <w:ind w:firstLine="0" w:firstLineChars="0"/>
              <w:rPr>
                <w:rFonts w:asciiTheme="minorEastAsia" w:hAnsiTheme="minorEastAsia" w:eastAsiaTheme="minorEastAsia" w:cstheme="minorEastAsia"/>
                <w:color w:val="0F1115"/>
                <w:kern w:val="0"/>
                <w:szCs w:val="21"/>
                <w:lang w:bidi="ar"/>
              </w:rPr>
            </w:pPr>
            <w:r>
              <w:rPr>
                <w:rFonts w:hint="eastAsia" w:asciiTheme="minorEastAsia" w:hAnsiTheme="minorEastAsia" w:eastAsiaTheme="minorEastAsia" w:cstheme="minorEastAsia"/>
                <w:color w:val="0F1115"/>
                <w:kern w:val="0"/>
                <w:szCs w:val="21"/>
                <w:lang w:bidi="ar"/>
              </w:rPr>
              <w:t>□清单齐全、参数完整</w:t>
            </w:r>
          </w:p>
          <w:p w14:paraId="037854DE">
            <w:pPr>
              <w:widowControl/>
              <w:snapToGrid w:val="0"/>
              <w:spacing w:line="240" w:lineRule="auto"/>
              <w:ind w:firstLine="0" w:firstLineChars="0"/>
              <w:rPr>
                <w:rFonts w:asciiTheme="minorEastAsia" w:hAnsiTheme="minorEastAsia" w:eastAsiaTheme="minorEastAsia" w:cstheme="minorEastAsia"/>
                <w:color w:val="0F1115"/>
                <w:kern w:val="0"/>
                <w:szCs w:val="21"/>
                <w:lang w:bidi="ar"/>
              </w:rPr>
            </w:pPr>
            <w:r>
              <w:rPr>
                <w:rFonts w:hint="eastAsia" w:asciiTheme="minorEastAsia" w:hAnsiTheme="minorEastAsia" w:eastAsiaTheme="minorEastAsia" w:cstheme="minorEastAsia"/>
                <w:color w:val="0F1115"/>
                <w:kern w:val="0"/>
                <w:szCs w:val="21"/>
                <w:lang w:bidi="ar"/>
              </w:rPr>
              <w:t>□清单不全</w:t>
            </w:r>
          </w:p>
          <w:p w14:paraId="13D3410F">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 无清单</w:t>
            </w:r>
            <w:r>
              <w:rPr>
                <w:rFonts w:hint="eastAsia" w:asciiTheme="minorEastAsia" w:hAnsiTheme="minorEastAsia" w:eastAsiaTheme="minorEastAsia" w:cstheme="minorEastAsia"/>
                <w:color w:val="0F1115"/>
                <w:kern w:val="0"/>
                <w:szCs w:val="21"/>
                <w:lang w:bidi="ar"/>
              </w:rPr>
              <w:br w:type="textWrapping"/>
            </w:r>
            <w:r>
              <w:rPr>
                <w:rStyle w:val="32"/>
                <w:rFonts w:hint="eastAsia" w:asciiTheme="minorEastAsia" w:hAnsiTheme="minorEastAsia" w:eastAsiaTheme="minorEastAsia" w:cstheme="minorEastAsia"/>
                <w:b w:val="0"/>
                <w:color w:val="0F1115"/>
                <w:kern w:val="0"/>
                <w:szCs w:val="21"/>
                <w:lang w:bidi="ar"/>
              </w:rPr>
              <w:t>主要设备/设施：</w:t>
            </w:r>
            <w:r>
              <w:rPr>
                <w:rFonts w:hint="eastAsia" w:asciiTheme="minorEastAsia" w:hAnsiTheme="minorEastAsia" w:eastAsiaTheme="minorEastAsia" w:cstheme="minorEastAsia"/>
                <w:color w:val="0F1115"/>
                <w:kern w:val="0"/>
                <w:szCs w:val="21"/>
                <w:lang w:bidi="ar"/>
              </w:rPr>
              <w:t> ________</w:t>
            </w:r>
          </w:p>
        </w:tc>
        <w:tc>
          <w:tcPr>
            <w:tcW w:w="1731" w:type="dxa"/>
            <w:shd w:val="clear" w:color="auto" w:fill="FFFFFF"/>
            <w:tcMar>
              <w:top w:w="150" w:type="dxa"/>
              <w:left w:w="240" w:type="dxa"/>
              <w:bottom w:w="150" w:type="dxa"/>
              <w:right w:w="0" w:type="dxa"/>
            </w:tcMar>
            <w:vAlign w:val="center"/>
          </w:tcPr>
          <w:p w14:paraId="30D07739">
            <w:pPr>
              <w:widowControl/>
              <w:snapToGrid w:val="0"/>
              <w:ind w:firstLine="0" w:firstLineChars="0"/>
              <w:rPr>
                <w:rFonts w:asciiTheme="minorEastAsia" w:hAnsiTheme="minorEastAsia" w:eastAsiaTheme="minorEastAsia" w:cstheme="minorEastAsia"/>
                <w:color w:val="0F1115"/>
                <w:szCs w:val="21"/>
              </w:rPr>
            </w:pPr>
          </w:p>
        </w:tc>
      </w:tr>
      <w:tr w14:paraId="51B8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396" w:type="dxa"/>
            <w:vMerge w:val="continue"/>
            <w:shd w:val="clear" w:color="auto" w:fill="FFFFFF"/>
            <w:tcMar>
              <w:top w:w="150" w:type="dxa"/>
              <w:left w:w="0" w:type="dxa"/>
              <w:bottom w:w="150" w:type="dxa"/>
              <w:right w:w="240" w:type="dxa"/>
            </w:tcMar>
            <w:vAlign w:val="center"/>
          </w:tcPr>
          <w:p w14:paraId="27349ED7">
            <w:pPr>
              <w:widowControl/>
              <w:snapToGrid w:val="0"/>
              <w:ind w:firstLine="0" w:firstLineChars="0"/>
              <w:jc w:val="center"/>
              <w:rPr>
                <w:rFonts w:asciiTheme="minorEastAsia" w:hAnsiTheme="minorEastAsia" w:eastAsiaTheme="minorEastAsia" w:cstheme="minorEastAsia"/>
                <w:color w:val="0F1115"/>
                <w:szCs w:val="21"/>
              </w:rPr>
            </w:pPr>
          </w:p>
        </w:tc>
        <w:tc>
          <w:tcPr>
            <w:tcW w:w="2318" w:type="dxa"/>
            <w:shd w:val="clear" w:color="auto" w:fill="FFFFFF"/>
            <w:tcMar>
              <w:top w:w="150" w:type="dxa"/>
              <w:left w:w="240" w:type="dxa"/>
              <w:bottom w:w="150" w:type="dxa"/>
              <w:right w:w="240" w:type="dxa"/>
            </w:tcMar>
            <w:vAlign w:val="center"/>
          </w:tcPr>
          <w:p w14:paraId="54A80813">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涉及物料的名称、特性及最大在线量</w:t>
            </w:r>
          </w:p>
        </w:tc>
        <w:tc>
          <w:tcPr>
            <w:tcW w:w="3084" w:type="dxa"/>
            <w:shd w:val="clear" w:color="auto" w:fill="FFFFFF"/>
            <w:tcMar>
              <w:top w:w="150" w:type="dxa"/>
              <w:left w:w="240" w:type="dxa"/>
              <w:bottom w:w="150" w:type="dxa"/>
              <w:right w:w="240" w:type="dxa"/>
            </w:tcMar>
            <w:vAlign w:val="center"/>
          </w:tcPr>
          <w:p w14:paraId="5C1ED70B">
            <w:pPr>
              <w:widowControl/>
              <w:snapToGrid w:val="0"/>
              <w:spacing w:line="240" w:lineRule="auto"/>
              <w:ind w:firstLine="0" w:firstLineChars="0"/>
              <w:rPr>
                <w:rFonts w:asciiTheme="minorEastAsia" w:hAnsiTheme="minorEastAsia" w:eastAsiaTheme="minorEastAsia" w:cstheme="minorEastAsia"/>
                <w:color w:val="0F1115"/>
                <w:kern w:val="0"/>
                <w:szCs w:val="21"/>
                <w:lang w:bidi="ar"/>
              </w:rPr>
            </w:pPr>
            <w:r>
              <w:rPr>
                <w:rStyle w:val="32"/>
                <w:rFonts w:hint="eastAsia" w:asciiTheme="minorEastAsia" w:hAnsiTheme="minorEastAsia" w:eastAsiaTheme="minorEastAsia" w:cstheme="minorEastAsia"/>
                <w:b w:val="0"/>
                <w:color w:val="0F1115"/>
                <w:kern w:val="0"/>
                <w:szCs w:val="21"/>
                <w:lang w:bidi="ar"/>
              </w:rPr>
              <w:t>物料名称</w:t>
            </w:r>
            <w:r>
              <w:rPr>
                <w:rFonts w:hint="eastAsia" w:asciiTheme="minorEastAsia" w:hAnsiTheme="minorEastAsia" w:eastAsiaTheme="minorEastAsia" w:cstheme="minorEastAsia"/>
                <w:color w:val="0F1115"/>
                <w:kern w:val="0"/>
                <w:szCs w:val="21"/>
                <w:lang w:bidi="ar"/>
              </w:rPr>
              <w:t>：________</w:t>
            </w:r>
          </w:p>
          <w:p w14:paraId="4118A9D1">
            <w:pPr>
              <w:widowControl/>
              <w:snapToGrid w:val="0"/>
              <w:spacing w:line="240" w:lineRule="auto"/>
              <w:ind w:firstLine="0" w:firstLineChars="0"/>
              <w:rPr>
                <w:rFonts w:asciiTheme="minorEastAsia" w:hAnsiTheme="minorEastAsia" w:eastAsiaTheme="minorEastAsia" w:cstheme="minorEastAsia"/>
                <w:color w:val="0F1115"/>
                <w:szCs w:val="21"/>
              </w:rPr>
            </w:pPr>
            <w:r>
              <w:rPr>
                <w:rStyle w:val="32"/>
                <w:rFonts w:hint="eastAsia" w:asciiTheme="minorEastAsia" w:hAnsiTheme="minorEastAsia" w:eastAsiaTheme="minorEastAsia" w:cstheme="minorEastAsia"/>
                <w:b w:val="0"/>
                <w:color w:val="0F1115"/>
                <w:kern w:val="0"/>
                <w:szCs w:val="21"/>
                <w:lang w:bidi="ar"/>
              </w:rPr>
              <w:t>危险特性</w:t>
            </w:r>
            <w:r>
              <w:rPr>
                <w:rFonts w:hint="eastAsia" w:asciiTheme="minorEastAsia" w:hAnsiTheme="minorEastAsia" w:eastAsiaTheme="minorEastAsia" w:cstheme="minorEastAsia"/>
                <w:color w:val="0F1115"/>
                <w:kern w:val="0"/>
                <w:szCs w:val="21"/>
                <w:lang w:bidi="ar"/>
              </w:rPr>
              <w:t>：________ </w:t>
            </w:r>
            <w:r>
              <w:rPr>
                <w:rStyle w:val="32"/>
                <w:rFonts w:hint="eastAsia" w:asciiTheme="minorEastAsia" w:hAnsiTheme="minorEastAsia" w:eastAsiaTheme="minorEastAsia" w:cstheme="minorEastAsia"/>
                <w:b w:val="0"/>
                <w:color w:val="0F1115"/>
                <w:kern w:val="0"/>
                <w:szCs w:val="21"/>
                <w:lang w:bidi="ar"/>
              </w:rPr>
              <w:br w:type="textWrapping"/>
            </w:r>
            <w:r>
              <w:rPr>
                <w:rStyle w:val="32"/>
                <w:rFonts w:hint="eastAsia" w:asciiTheme="minorEastAsia" w:hAnsiTheme="minorEastAsia" w:eastAsiaTheme="minorEastAsia" w:cstheme="minorEastAsia"/>
                <w:b w:val="0"/>
                <w:color w:val="0F1115"/>
                <w:kern w:val="0"/>
                <w:szCs w:val="21"/>
                <w:lang w:bidi="ar"/>
              </w:rPr>
              <w:t>最大在线量（吨）：</w:t>
            </w:r>
            <w:r>
              <w:rPr>
                <w:rFonts w:hint="eastAsia" w:asciiTheme="minorEastAsia" w:hAnsiTheme="minorEastAsia" w:eastAsiaTheme="minorEastAsia" w:cstheme="minorEastAsia"/>
                <w:color w:val="0F1115"/>
                <w:kern w:val="0"/>
                <w:szCs w:val="21"/>
                <w:lang w:bidi="ar"/>
              </w:rPr>
              <w:t>________</w:t>
            </w:r>
          </w:p>
        </w:tc>
        <w:tc>
          <w:tcPr>
            <w:tcW w:w="1731" w:type="dxa"/>
            <w:shd w:val="clear" w:color="auto" w:fill="FFFFFF"/>
            <w:tcMar>
              <w:top w:w="150" w:type="dxa"/>
              <w:left w:w="240" w:type="dxa"/>
              <w:bottom w:w="150" w:type="dxa"/>
              <w:right w:w="0" w:type="dxa"/>
            </w:tcMar>
            <w:vAlign w:val="center"/>
          </w:tcPr>
          <w:p w14:paraId="4ECA1E0D">
            <w:pPr>
              <w:widowControl/>
              <w:snapToGrid w:val="0"/>
              <w:ind w:firstLine="0" w:firstLineChars="0"/>
              <w:rPr>
                <w:rFonts w:asciiTheme="minorEastAsia" w:hAnsiTheme="minorEastAsia" w:eastAsiaTheme="minorEastAsia" w:cstheme="minorEastAsia"/>
                <w:color w:val="0F1115"/>
                <w:szCs w:val="21"/>
              </w:rPr>
            </w:pPr>
          </w:p>
        </w:tc>
      </w:tr>
      <w:tr w14:paraId="312F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396" w:type="dxa"/>
            <w:vMerge w:val="continue"/>
            <w:shd w:val="clear" w:color="auto" w:fill="FFFFFF"/>
            <w:tcMar>
              <w:top w:w="150" w:type="dxa"/>
              <w:left w:w="0" w:type="dxa"/>
              <w:bottom w:w="150" w:type="dxa"/>
              <w:right w:w="240" w:type="dxa"/>
            </w:tcMar>
            <w:vAlign w:val="center"/>
          </w:tcPr>
          <w:p w14:paraId="60A0B2E4">
            <w:pPr>
              <w:widowControl/>
              <w:snapToGrid w:val="0"/>
              <w:ind w:firstLine="0" w:firstLineChars="0"/>
              <w:jc w:val="center"/>
              <w:rPr>
                <w:rFonts w:asciiTheme="minorEastAsia" w:hAnsiTheme="minorEastAsia" w:eastAsiaTheme="minorEastAsia" w:cstheme="minorEastAsia"/>
                <w:color w:val="0F1115"/>
                <w:szCs w:val="21"/>
              </w:rPr>
            </w:pPr>
          </w:p>
        </w:tc>
        <w:tc>
          <w:tcPr>
            <w:tcW w:w="2318" w:type="dxa"/>
            <w:shd w:val="clear" w:color="auto" w:fill="FFFFFF"/>
            <w:tcMar>
              <w:top w:w="150" w:type="dxa"/>
              <w:left w:w="240" w:type="dxa"/>
              <w:bottom w:w="150" w:type="dxa"/>
              <w:right w:w="240" w:type="dxa"/>
            </w:tcMar>
            <w:vAlign w:val="center"/>
          </w:tcPr>
          <w:p w14:paraId="47FB03F2">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地面防渗层、围堰、地沟等设施的完好性</w:t>
            </w:r>
          </w:p>
        </w:tc>
        <w:tc>
          <w:tcPr>
            <w:tcW w:w="3084" w:type="dxa"/>
            <w:shd w:val="clear" w:color="auto" w:fill="FFFFFF"/>
            <w:tcMar>
              <w:top w:w="150" w:type="dxa"/>
              <w:left w:w="240" w:type="dxa"/>
              <w:bottom w:w="150" w:type="dxa"/>
              <w:right w:w="240" w:type="dxa"/>
            </w:tcMar>
            <w:vAlign w:val="center"/>
          </w:tcPr>
          <w:p w14:paraId="57F66246">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 完好有效 □ 存在裂缝/破损/堵塞</w:t>
            </w:r>
            <w:r>
              <w:rPr>
                <w:rFonts w:hint="eastAsia" w:asciiTheme="minorEastAsia" w:hAnsiTheme="minorEastAsia" w:eastAsiaTheme="minorEastAsia" w:cstheme="minorEastAsia"/>
                <w:color w:val="0F1115"/>
                <w:kern w:val="0"/>
                <w:szCs w:val="21"/>
                <w:lang w:bidi="ar"/>
              </w:rPr>
              <w:br w:type="textWrapping"/>
            </w:r>
            <w:r>
              <w:rPr>
                <w:rStyle w:val="32"/>
                <w:rFonts w:hint="eastAsia" w:asciiTheme="minorEastAsia" w:hAnsiTheme="minorEastAsia" w:eastAsiaTheme="minorEastAsia" w:cstheme="minorEastAsia"/>
                <w:b w:val="0"/>
                <w:color w:val="0F1115"/>
                <w:kern w:val="0"/>
                <w:szCs w:val="21"/>
                <w:lang w:bidi="ar"/>
              </w:rPr>
              <w:t>具体问题描述：</w:t>
            </w:r>
            <w:r>
              <w:rPr>
                <w:rFonts w:hint="eastAsia" w:asciiTheme="minorEastAsia" w:hAnsiTheme="minorEastAsia" w:eastAsiaTheme="minorEastAsia" w:cstheme="minorEastAsia"/>
                <w:color w:val="0F1115"/>
                <w:kern w:val="0"/>
                <w:szCs w:val="21"/>
                <w:lang w:bidi="ar"/>
              </w:rPr>
              <w:t> _________</w:t>
            </w:r>
          </w:p>
        </w:tc>
        <w:tc>
          <w:tcPr>
            <w:tcW w:w="1731" w:type="dxa"/>
            <w:shd w:val="clear" w:color="auto" w:fill="FFFFFF"/>
            <w:tcMar>
              <w:top w:w="150" w:type="dxa"/>
              <w:left w:w="240" w:type="dxa"/>
              <w:bottom w:w="150" w:type="dxa"/>
              <w:right w:w="0" w:type="dxa"/>
            </w:tcMar>
            <w:vAlign w:val="center"/>
          </w:tcPr>
          <w:p w14:paraId="32A7CF97">
            <w:pPr>
              <w:widowControl/>
              <w:snapToGrid w:val="0"/>
              <w:ind w:firstLine="0" w:firstLineChars="0"/>
              <w:rPr>
                <w:rFonts w:asciiTheme="minorEastAsia" w:hAnsiTheme="minorEastAsia" w:eastAsiaTheme="minorEastAsia" w:cstheme="minorEastAsia"/>
                <w:color w:val="0F1115"/>
                <w:szCs w:val="21"/>
              </w:rPr>
            </w:pPr>
          </w:p>
        </w:tc>
      </w:tr>
      <w:tr w14:paraId="0D98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396" w:type="dxa"/>
            <w:vMerge w:val="restart"/>
            <w:shd w:val="clear" w:color="auto" w:fill="FFFFFF"/>
            <w:tcMar>
              <w:top w:w="150" w:type="dxa"/>
              <w:left w:w="0" w:type="dxa"/>
              <w:bottom w:w="150" w:type="dxa"/>
              <w:right w:w="240" w:type="dxa"/>
            </w:tcMar>
            <w:vAlign w:val="center"/>
          </w:tcPr>
          <w:p w14:paraId="578509B7">
            <w:pPr>
              <w:widowControl/>
              <w:snapToGrid w:val="0"/>
              <w:spacing w:line="240" w:lineRule="auto"/>
              <w:ind w:firstLine="0" w:firstLineChars="0"/>
              <w:jc w:val="center"/>
              <w:rPr>
                <w:rFonts w:asciiTheme="minorEastAsia" w:hAnsiTheme="minorEastAsia" w:eastAsiaTheme="minorEastAsia" w:cstheme="minorEastAsia"/>
                <w:color w:val="0F1115"/>
                <w:szCs w:val="21"/>
              </w:rPr>
            </w:pPr>
            <w:r>
              <w:rPr>
                <w:rStyle w:val="32"/>
                <w:rFonts w:hint="eastAsia" w:asciiTheme="minorEastAsia" w:hAnsiTheme="minorEastAsia" w:eastAsiaTheme="minorEastAsia" w:cstheme="minorEastAsia"/>
                <w:bCs/>
                <w:color w:val="0F1115"/>
                <w:kern w:val="0"/>
                <w:szCs w:val="21"/>
                <w:lang w:bidi="ar"/>
              </w:rPr>
              <w:t>运行与记录</w:t>
            </w:r>
          </w:p>
        </w:tc>
        <w:tc>
          <w:tcPr>
            <w:tcW w:w="2318" w:type="dxa"/>
            <w:shd w:val="clear" w:color="auto" w:fill="FFFFFF"/>
            <w:tcMar>
              <w:top w:w="150" w:type="dxa"/>
              <w:left w:w="240" w:type="dxa"/>
              <w:bottom w:w="150" w:type="dxa"/>
              <w:right w:w="240" w:type="dxa"/>
            </w:tcMar>
            <w:vAlign w:val="center"/>
          </w:tcPr>
          <w:p w14:paraId="7C9EFEF7">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设备与管线的日常巡检记录</w:t>
            </w:r>
          </w:p>
        </w:tc>
        <w:tc>
          <w:tcPr>
            <w:tcW w:w="3084" w:type="dxa"/>
            <w:shd w:val="clear" w:color="auto" w:fill="FFFFFF"/>
            <w:tcMar>
              <w:top w:w="150" w:type="dxa"/>
              <w:left w:w="240" w:type="dxa"/>
              <w:bottom w:w="150" w:type="dxa"/>
              <w:right w:w="240" w:type="dxa"/>
            </w:tcMar>
            <w:vAlign w:val="center"/>
          </w:tcPr>
          <w:p w14:paraId="32D6E91E">
            <w:pPr>
              <w:widowControl/>
              <w:snapToGrid w:val="0"/>
              <w:spacing w:line="240" w:lineRule="auto"/>
              <w:ind w:firstLine="0" w:firstLineChars="0"/>
              <w:rPr>
                <w:rFonts w:asciiTheme="minorEastAsia" w:hAnsiTheme="minorEastAsia" w:eastAsiaTheme="minorEastAsia" w:cstheme="minorEastAsia"/>
                <w:color w:val="0F1115"/>
                <w:kern w:val="0"/>
                <w:szCs w:val="21"/>
                <w:lang w:bidi="ar"/>
              </w:rPr>
            </w:pPr>
            <w:r>
              <w:rPr>
                <w:rFonts w:hint="eastAsia" w:asciiTheme="minorEastAsia" w:hAnsiTheme="minorEastAsia" w:eastAsiaTheme="minorEastAsia" w:cstheme="minorEastAsia"/>
                <w:color w:val="0F1115"/>
                <w:kern w:val="0"/>
                <w:szCs w:val="21"/>
                <w:lang w:bidi="ar"/>
              </w:rPr>
              <w:t>□记录完整</w:t>
            </w:r>
          </w:p>
          <w:p w14:paraId="48F9EBC2">
            <w:pPr>
              <w:widowControl/>
              <w:snapToGrid w:val="0"/>
              <w:spacing w:line="240" w:lineRule="auto"/>
              <w:ind w:firstLine="0" w:firstLineChars="0"/>
              <w:rPr>
                <w:rFonts w:asciiTheme="minorEastAsia" w:hAnsiTheme="minorEastAsia" w:eastAsiaTheme="minorEastAsia" w:cstheme="minorEastAsia"/>
                <w:color w:val="0F1115"/>
                <w:kern w:val="0"/>
                <w:szCs w:val="21"/>
                <w:lang w:bidi="ar"/>
              </w:rPr>
            </w:pPr>
            <w:r>
              <w:rPr>
                <w:rFonts w:hint="eastAsia" w:asciiTheme="minorEastAsia" w:hAnsiTheme="minorEastAsia" w:eastAsiaTheme="minorEastAsia" w:cstheme="minorEastAsia"/>
                <w:color w:val="0F1115"/>
                <w:kern w:val="0"/>
                <w:szCs w:val="21"/>
                <w:lang w:bidi="ar"/>
              </w:rPr>
              <w:t>□记录不全</w:t>
            </w:r>
          </w:p>
          <w:p w14:paraId="32E52AC3">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□无记录</w:t>
            </w:r>
            <w:r>
              <w:rPr>
                <w:rFonts w:hint="eastAsia" w:asciiTheme="minorEastAsia" w:hAnsiTheme="minorEastAsia" w:eastAsiaTheme="minorEastAsia" w:cstheme="minorEastAsia"/>
                <w:color w:val="0F1115"/>
                <w:kern w:val="0"/>
                <w:szCs w:val="21"/>
                <w:lang w:bidi="ar"/>
              </w:rPr>
              <w:br w:type="textWrapping"/>
            </w:r>
            <w:r>
              <w:rPr>
                <w:rStyle w:val="32"/>
                <w:rFonts w:hint="eastAsia" w:asciiTheme="minorEastAsia" w:hAnsiTheme="minorEastAsia" w:eastAsiaTheme="minorEastAsia" w:cstheme="minorEastAsia"/>
                <w:b w:val="0"/>
                <w:color w:val="0F1115"/>
                <w:kern w:val="0"/>
                <w:szCs w:val="21"/>
                <w:lang w:bidi="ar"/>
              </w:rPr>
              <w:t>检查周期：</w:t>
            </w:r>
            <w:r>
              <w:rPr>
                <w:rFonts w:hint="eastAsia" w:asciiTheme="minorEastAsia" w:hAnsiTheme="minorEastAsia" w:eastAsiaTheme="minorEastAsia" w:cstheme="minorEastAsia"/>
                <w:color w:val="0F1115"/>
                <w:kern w:val="0"/>
                <w:szCs w:val="21"/>
                <w:lang w:bidi="ar"/>
              </w:rPr>
              <w:t> □每日 □每周 □其他：________</w:t>
            </w:r>
          </w:p>
        </w:tc>
        <w:tc>
          <w:tcPr>
            <w:tcW w:w="1731" w:type="dxa"/>
            <w:shd w:val="clear" w:color="auto" w:fill="FFFFFF"/>
            <w:tcMar>
              <w:top w:w="150" w:type="dxa"/>
              <w:left w:w="240" w:type="dxa"/>
              <w:bottom w:w="150" w:type="dxa"/>
              <w:right w:w="0" w:type="dxa"/>
            </w:tcMar>
            <w:vAlign w:val="center"/>
          </w:tcPr>
          <w:p w14:paraId="4DDCD1A5">
            <w:pPr>
              <w:widowControl/>
              <w:snapToGrid w:val="0"/>
              <w:ind w:firstLine="0" w:firstLineChars="0"/>
              <w:rPr>
                <w:rFonts w:asciiTheme="minorEastAsia" w:hAnsiTheme="minorEastAsia" w:eastAsiaTheme="minorEastAsia" w:cstheme="minorEastAsia"/>
                <w:color w:val="0F1115"/>
                <w:szCs w:val="21"/>
              </w:rPr>
            </w:pPr>
          </w:p>
        </w:tc>
      </w:tr>
      <w:tr w14:paraId="221E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396" w:type="dxa"/>
            <w:vMerge w:val="continue"/>
            <w:shd w:val="clear" w:color="auto" w:fill="FFFFFF"/>
            <w:tcMar>
              <w:top w:w="150" w:type="dxa"/>
              <w:left w:w="0" w:type="dxa"/>
              <w:bottom w:w="150" w:type="dxa"/>
              <w:right w:w="240" w:type="dxa"/>
            </w:tcMar>
            <w:vAlign w:val="center"/>
          </w:tcPr>
          <w:p w14:paraId="3005119C">
            <w:pPr>
              <w:widowControl/>
              <w:snapToGrid w:val="0"/>
              <w:ind w:firstLine="0" w:firstLineChars="0"/>
              <w:jc w:val="center"/>
              <w:rPr>
                <w:rFonts w:asciiTheme="minorEastAsia" w:hAnsiTheme="minorEastAsia" w:eastAsiaTheme="minorEastAsia" w:cstheme="minorEastAsia"/>
                <w:color w:val="0F1115"/>
                <w:szCs w:val="21"/>
              </w:rPr>
            </w:pPr>
          </w:p>
        </w:tc>
        <w:tc>
          <w:tcPr>
            <w:tcW w:w="2318" w:type="dxa"/>
            <w:shd w:val="clear" w:color="auto" w:fill="FFFFFF"/>
            <w:tcMar>
              <w:top w:w="150" w:type="dxa"/>
              <w:left w:w="240" w:type="dxa"/>
              <w:bottom w:w="150" w:type="dxa"/>
              <w:right w:w="240" w:type="dxa"/>
            </w:tcMar>
            <w:vAlign w:val="center"/>
          </w:tcPr>
          <w:p w14:paraId="113E1DD4">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设备与管线的预防性维护记录</w:t>
            </w:r>
          </w:p>
        </w:tc>
        <w:tc>
          <w:tcPr>
            <w:tcW w:w="3084" w:type="dxa"/>
            <w:shd w:val="clear" w:color="auto" w:fill="FFFFFF"/>
            <w:tcMar>
              <w:top w:w="150" w:type="dxa"/>
              <w:left w:w="240" w:type="dxa"/>
              <w:bottom w:w="150" w:type="dxa"/>
              <w:right w:w="240" w:type="dxa"/>
            </w:tcMar>
            <w:vAlign w:val="center"/>
          </w:tcPr>
          <w:p w14:paraId="626D1D06">
            <w:pPr>
              <w:widowControl/>
              <w:snapToGrid w:val="0"/>
              <w:spacing w:line="240" w:lineRule="auto"/>
              <w:ind w:firstLine="0" w:firstLineChars="0"/>
              <w:rPr>
                <w:rFonts w:asciiTheme="minorEastAsia" w:hAnsiTheme="minorEastAsia" w:eastAsiaTheme="minorEastAsia" w:cstheme="minorEastAsia"/>
                <w:color w:val="0F1115"/>
                <w:kern w:val="0"/>
                <w:szCs w:val="21"/>
                <w:lang w:bidi="ar"/>
              </w:rPr>
            </w:pPr>
            <w:r>
              <w:rPr>
                <w:rFonts w:hint="eastAsia" w:asciiTheme="minorEastAsia" w:hAnsiTheme="minorEastAsia" w:eastAsiaTheme="minorEastAsia" w:cstheme="minorEastAsia"/>
                <w:color w:val="0F1115"/>
                <w:kern w:val="0"/>
                <w:szCs w:val="21"/>
                <w:lang w:bidi="ar"/>
              </w:rPr>
              <w:t>□记录完整</w:t>
            </w:r>
          </w:p>
          <w:p w14:paraId="3C5B912A">
            <w:pPr>
              <w:widowControl/>
              <w:snapToGrid w:val="0"/>
              <w:spacing w:line="240" w:lineRule="auto"/>
              <w:ind w:firstLine="0" w:firstLineChars="0"/>
              <w:rPr>
                <w:rFonts w:asciiTheme="minorEastAsia" w:hAnsiTheme="minorEastAsia" w:eastAsiaTheme="minorEastAsia" w:cstheme="minorEastAsia"/>
                <w:color w:val="0F1115"/>
                <w:kern w:val="0"/>
                <w:szCs w:val="21"/>
                <w:lang w:bidi="ar"/>
              </w:rPr>
            </w:pPr>
            <w:r>
              <w:rPr>
                <w:rFonts w:hint="eastAsia" w:asciiTheme="minorEastAsia" w:hAnsiTheme="minorEastAsia" w:eastAsiaTheme="minorEastAsia" w:cstheme="minorEastAsia"/>
                <w:color w:val="0F1115"/>
                <w:kern w:val="0"/>
                <w:szCs w:val="21"/>
                <w:lang w:bidi="ar"/>
              </w:rPr>
              <w:t>□记录不全</w:t>
            </w:r>
          </w:p>
          <w:p w14:paraId="158AC1B3">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□无记录</w:t>
            </w:r>
            <w:r>
              <w:rPr>
                <w:rFonts w:hint="eastAsia" w:asciiTheme="minorEastAsia" w:hAnsiTheme="minorEastAsia" w:eastAsiaTheme="minorEastAsia" w:cstheme="minorEastAsia"/>
                <w:color w:val="0F1115"/>
                <w:kern w:val="0"/>
                <w:szCs w:val="21"/>
                <w:lang w:bidi="ar"/>
              </w:rPr>
              <w:br w:type="textWrapping"/>
            </w:r>
            <w:r>
              <w:rPr>
                <w:rStyle w:val="32"/>
                <w:rFonts w:hint="eastAsia" w:asciiTheme="minorEastAsia" w:hAnsiTheme="minorEastAsia" w:eastAsiaTheme="minorEastAsia" w:cstheme="minorEastAsia"/>
                <w:b w:val="0"/>
                <w:color w:val="0F1115"/>
                <w:kern w:val="0"/>
                <w:szCs w:val="21"/>
                <w:lang w:bidi="ar"/>
              </w:rPr>
              <w:t>最近维护日期：</w:t>
            </w:r>
            <w:r>
              <w:rPr>
                <w:rFonts w:hint="eastAsia" w:asciiTheme="minorEastAsia" w:hAnsiTheme="minorEastAsia" w:eastAsiaTheme="minorEastAsia" w:cstheme="minorEastAsia"/>
                <w:color w:val="0F1115"/>
                <w:kern w:val="0"/>
                <w:szCs w:val="21"/>
                <w:lang w:bidi="ar"/>
              </w:rPr>
              <w:t> ________</w:t>
            </w:r>
          </w:p>
        </w:tc>
        <w:tc>
          <w:tcPr>
            <w:tcW w:w="1731" w:type="dxa"/>
            <w:shd w:val="clear" w:color="auto" w:fill="FFFFFF"/>
            <w:tcMar>
              <w:top w:w="150" w:type="dxa"/>
              <w:left w:w="240" w:type="dxa"/>
              <w:bottom w:w="150" w:type="dxa"/>
              <w:right w:w="0" w:type="dxa"/>
            </w:tcMar>
            <w:vAlign w:val="center"/>
          </w:tcPr>
          <w:p w14:paraId="3950B7A6">
            <w:pPr>
              <w:widowControl/>
              <w:snapToGrid w:val="0"/>
              <w:ind w:firstLine="0" w:firstLineChars="0"/>
              <w:rPr>
                <w:rFonts w:asciiTheme="minorEastAsia" w:hAnsiTheme="minorEastAsia" w:eastAsiaTheme="minorEastAsia" w:cstheme="minorEastAsia"/>
                <w:color w:val="0F1115"/>
                <w:szCs w:val="21"/>
              </w:rPr>
            </w:pPr>
          </w:p>
        </w:tc>
      </w:tr>
      <w:tr w14:paraId="51AD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396" w:type="dxa"/>
            <w:vMerge w:val="continue"/>
            <w:shd w:val="clear" w:color="auto" w:fill="FFFFFF"/>
            <w:tcMar>
              <w:top w:w="150" w:type="dxa"/>
              <w:left w:w="0" w:type="dxa"/>
              <w:bottom w:w="150" w:type="dxa"/>
              <w:right w:w="240" w:type="dxa"/>
            </w:tcMar>
            <w:vAlign w:val="center"/>
          </w:tcPr>
          <w:p w14:paraId="381A38F5">
            <w:pPr>
              <w:widowControl/>
              <w:snapToGrid w:val="0"/>
              <w:ind w:firstLine="0" w:firstLineChars="0"/>
              <w:jc w:val="center"/>
              <w:rPr>
                <w:rFonts w:asciiTheme="minorEastAsia" w:hAnsiTheme="minorEastAsia" w:eastAsiaTheme="minorEastAsia" w:cstheme="minorEastAsia"/>
                <w:color w:val="0F1115"/>
                <w:szCs w:val="21"/>
              </w:rPr>
            </w:pPr>
          </w:p>
        </w:tc>
        <w:tc>
          <w:tcPr>
            <w:tcW w:w="2318" w:type="dxa"/>
            <w:shd w:val="clear" w:color="auto" w:fill="FFFFFF"/>
            <w:tcMar>
              <w:top w:w="150" w:type="dxa"/>
              <w:left w:w="240" w:type="dxa"/>
              <w:bottom w:w="150" w:type="dxa"/>
              <w:right w:w="240" w:type="dxa"/>
            </w:tcMar>
            <w:vAlign w:val="center"/>
          </w:tcPr>
          <w:p w14:paraId="3F1DDC60">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泄漏处置记录</w:t>
            </w:r>
          </w:p>
        </w:tc>
        <w:tc>
          <w:tcPr>
            <w:tcW w:w="3084" w:type="dxa"/>
            <w:shd w:val="clear" w:color="auto" w:fill="FFFFFF"/>
            <w:tcMar>
              <w:top w:w="150" w:type="dxa"/>
              <w:left w:w="240" w:type="dxa"/>
              <w:bottom w:w="150" w:type="dxa"/>
              <w:right w:w="240" w:type="dxa"/>
            </w:tcMar>
            <w:vAlign w:val="center"/>
          </w:tcPr>
          <w:p w14:paraId="368ABB1B">
            <w:pPr>
              <w:widowControl/>
              <w:snapToGrid w:val="0"/>
              <w:spacing w:line="240" w:lineRule="auto"/>
              <w:ind w:firstLine="0" w:firstLineChars="0"/>
              <w:rPr>
                <w:rFonts w:asciiTheme="minorEastAsia" w:hAnsiTheme="minorEastAsia" w:eastAsiaTheme="minorEastAsia" w:cstheme="minorEastAsia"/>
                <w:color w:val="0F1115"/>
                <w:kern w:val="0"/>
                <w:szCs w:val="21"/>
                <w:lang w:bidi="ar"/>
              </w:rPr>
            </w:pPr>
            <w:r>
              <w:rPr>
                <w:rFonts w:hint="eastAsia" w:asciiTheme="minorEastAsia" w:hAnsiTheme="minorEastAsia" w:eastAsiaTheme="minorEastAsia" w:cstheme="minorEastAsia"/>
                <w:color w:val="0F1115"/>
                <w:kern w:val="0"/>
                <w:szCs w:val="21"/>
                <w:lang w:bidi="ar"/>
              </w:rPr>
              <w:t>□记录完整</w:t>
            </w:r>
          </w:p>
          <w:p w14:paraId="4B9B4991">
            <w:pPr>
              <w:widowControl/>
              <w:snapToGrid w:val="0"/>
              <w:spacing w:line="240" w:lineRule="auto"/>
              <w:ind w:firstLine="0" w:firstLineChars="0"/>
              <w:rPr>
                <w:rFonts w:asciiTheme="minorEastAsia" w:hAnsiTheme="minorEastAsia" w:eastAsiaTheme="minorEastAsia" w:cstheme="minorEastAsia"/>
                <w:color w:val="0F1115"/>
                <w:kern w:val="0"/>
                <w:szCs w:val="21"/>
                <w:lang w:bidi="ar"/>
              </w:rPr>
            </w:pPr>
            <w:r>
              <w:rPr>
                <w:rFonts w:hint="eastAsia" w:asciiTheme="minorEastAsia" w:hAnsiTheme="minorEastAsia" w:eastAsiaTheme="minorEastAsia" w:cstheme="minorEastAsia"/>
                <w:color w:val="0F1115"/>
                <w:kern w:val="0"/>
                <w:szCs w:val="21"/>
                <w:lang w:bidi="ar"/>
              </w:rPr>
              <w:t>□有记录但不全</w:t>
            </w:r>
          </w:p>
          <w:p w14:paraId="1B930889">
            <w:pPr>
              <w:widowControl/>
              <w:snapToGrid w:val="0"/>
              <w:spacing w:line="240" w:lineRule="auto"/>
              <w:ind w:firstLine="0" w:firstLineChars="0"/>
              <w:rPr>
                <w:rFonts w:asciiTheme="minorEastAsia" w:hAnsiTheme="minorEastAsia" w:eastAsiaTheme="minorEastAsia" w:cstheme="minorEastAsia"/>
                <w:color w:val="0F1115"/>
                <w:kern w:val="0"/>
                <w:szCs w:val="21"/>
                <w:lang w:bidi="ar"/>
              </w:rPr>
            </w:pPr>
            <w:r>
              <w:rPr>
                <w:rFonts w:hint="eastAsia" w:asciiTheme="minorEastAsia" w:hAnsiTheme="minorEastAsia" w:eastAsiaTheme="minorEastAsia" w:cstheme="minorEastAsia"/>
                <w:color w:val="0F1115"/>
                <w:kern w:val="0"/>
                <w:szCs w:val="21"/>
                <w:lang w:bidi="ar"/>
              </w:rPr>
              <w:t>□无泄漏事件</w:t>
            </w:r>
          </w:p>
          <w:p w14:paraId="111F053A">
            <w:pPr>
              <w:widowControl/>
              <w:snapToGrid w:val="0"/>
              <w:spacing w:line="240" w:lineRule="auto"/>
              <w:ind w:firstLine="0" w:firstLineChars="0"/>
              <w:rPr>
                <w:rFonts w:asciiTheme="minorEastAsia" w:hAnsiTheme="minorEastAsia" w:eastAsiaTheme="minorEastAsia" w:cstheme="minorEastAsia"/>
                <w:color w:val="0F1115"/>
                <w:szCs w:val="21"/>
              </w:rPr>
            </w:pPr>
            <w:r>
              <w:rPr>
                <w:rFonts w:hint="eastAsia" w:asciiTheme="minorEastAsia" w:hAnsiTheme="minorEastAsia" w:eastAsiaTheme="minorEastAsia" w:cstheme="minorEastAsia"/>
                <w:color w:val="0F1115"/>
                <w:kern w:val="0"/>
                <w:szCs w:val="21"/>
                <w:lang w:bidi="ar"/>
              </w:rPr>
              <w:t>□有事件无记录</w:t>
            </w:r>
          </w:p>
        </w:tc>
        <w:tc>
          <w:tcPr>
            <w:tcW w:w="1731" w:type="dxa"/>
            <w:shd w:val="clear" w:color="auto" w:fill="FFFFFF"/>
            <w:tcMar>
              <w:top w:w="150" w:type="dxa"/>
              <w:left w:w="240" w:type="dxa"/>
              <w:bottom w:w="150" w:type="dxa"/>
              <w:right w:w="0" w:type="dxa"/>
            </w:tcMar>
            <w:vAlign w:val="center"/>
          </w:tcPr>
          <w:p w14:paraId="0979DDE5">
            <w:pPr>
              <w:widowControl/>
              <w:snapToGrid w:val="0"/>
              <w:spacing w:line="240" w:lineRule="auto"/>
              <w:ind w:firstLine="0" w:firstLineChars="0"/>
              <w:rPr>
                <w:rFonts w:asciiTheme="minorEastAsia" w:hAnsiTheme="minorEastAsia" w:eastAsiaTheme="minorEastAsia" w:cstheme="minorEastAsia"/>
                <w:color w:val="0F1115"/>
                <w:szCs w:val="21"/>
              </w:rPr>
            </w:pPr>
            <w:r>
              <w:rPr>
                <w:rStyle w:val="32"/>
                <w:rFonts w:hint="eastAsia" w:asciiTheme="minorEastAsia" w:hAnsiTheme="minorEastAsia" w:eastAsiaTheme="minorEastAsia" w:cstheme="minorEastAsia"/>
                <w:b w:val="0"/>
                <w:color w:val="0F1115"/>
                <w:kern w:val="0"/>
                <w:szCs w:val="21"/>
                <w:lang w:bidi="ar"/>
              </w:rPr>
              <w:t>最近处置日期：</w:t>
            </w:r>
            <w:r>
              <w:rPr>
                <w:rFonts w:hint="eastAsia" w:asciiTheme="minorEastAsia" w:hAnsiTheme="minorEastAsia" w:eastAsiaTheme="minorEastAsia" w:cstheme="minorEastAsia"/>
                <w:color w:val="0F1115"/>
                <w:kern w:val="0"/>
                <w:szCs w:val="21"/>
                <w:lang w:bidi="ar"/>
              </w:rPr>
              <w:t> ________</w:t>
            </w:r>
          </w:p>
        </w:tc>
      </w:tr>
      <w:bookmarkEnd w:id="19"/>
    </w:tbl>
    <w:p w14:paraId="7634A25E">
      <w:pPr>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p>
    <w:p w14:paraId="06BC06E4">
      <w:pPr>
        <w:pStyle w:val="2"/>
        <w:spacing w:line="240" w:lineRule="auto"/>
        <w:jc w:val="center"/>
        <w:rPr>
          <w:color w:val="000000" w:themeColor="text1"/>
          <w:szCs w:val="21"/>
          <w14:textFill>
            <w14:solidFill>
              <w14:schemeClr w14:val="tx1"/>
            </w14:solidFill>
          </w14:textFill>
        </w:rPr>
      </w:pPr>
      <w:bookmarkStart w:id="24" w:name="_Toc10286"/>
      <w:r>
        <w:rPr>
          <w:rFonts w:hint="eastAsia"/>
          <w:color w:val="000000" w:themeColor="text1"/>
          <w:szCs w:val="21"/>
          <w14:textFill>
            <w14:solidFill>
              <w14:schemeClr w14:val="tx1"/>
            </w14:solidFill>
          </w14:textFill>
        </w:rPr>
        <w:t>附录C</w:t>
      </w:r>
      <w:bookmarkEnd w:id="24"/>
      <w:bookmarkStart w:id="25" w:name="_Toc15092"/>
      <w:r>
        <w:rPr>
          <w:rFonts w:hint="eastAsia"/>
          <w:color w:val="000000" w:themeColor="text1"/>
          <w:szCs w:val="21"/>
          <w14:textFill>
            <w14:solidFill>
              <w14:schemeClr w14:val="tx1"/>
            </w14:solidFill>
          </w14:textFill>
        </w:rPr>
        <w:t>（资料性）废水处理区信息收集表</w:t>
      </w:r>
    </w:p>
    <w:bookmarkEnd w:id="25"/>
    <w:p w14:paraId="5C443E7F">
      <w:pPr>
        <w:pStyle w:val="9"/>
        <w:jc w:val="left"/>
        <w:rPr>
          <w:rFonts w:ascii="Times New Roman" w:hAnsi="Times New Roman" w:eastAsia="宋体"/>
          <w:sz w:val="21"/>
        </w:rPr>
      </w:pPr>
      <w:r>
        <w:rPr>
          <w:rFonts w:hint="eastAsia" w:ascii="Times New Roman" w:hAnsi="Times New Roman" w:eastAsia="宋体"/>
          <w:sz w:val="21"/>
        </w:rPr>
        <w:t>废水处理区信息收集表见表C.1</w:t>
      </w:r>
    </w:p>
    <w:p w14:paraId="2BC03DFE">
      <w:pPr>
        <w:pStyle w:val="9"/>
        <w:ind w:firstLine="0" w:firstLineChars="0"/>
        <w:jc w:val="center"/>
        <w:rPr>
          <w:rFonts w:ascii="黑体" w:hAnsi="黑体" w:cs="黑体"/>
          <w:sz w:val="21"/>
        </w:rPr>
      </w:pPr>
      <w:r>
        <w:rPr>
          <w:rFonts w:hint="eastAsia" w:ascii="黑体" w:hAnsi="黑体" w:cs="黑体"/>
          <w:sz w:val="21"/>
        </w:rPr>
        <w:t>表C.1废水处理区信息收集表</w:t>
      </w:r>
    </w:p>
    <w:tbl>
      <w:tblPr>
        <w:tblStyle w:val="29"/>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379"/>
        <w:gridCol w:w="2521"/>
        <w:gridCol w:w="3493"/>
        <w:gridCol w:w="1306"/>
      </w:tblGrid>
      <w:tr w14:paraId="6DB2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7" w:hRule="atLeast"/>
          <w:tblHeader/>
        </w:trPr>
        <w:tc>
          <w:tcPr>
            <w:tcW w:w="1379" w:type="dxa"/>
            <w:shd w:val="clear" w:color="auto" w:fill="auto"/>
            <w:tcMar>
              <w:top w:w="150" w:type="dxa"/>
              <w:left w:w="0" w:type="dxa"/>
              <w:bottom w:w="150" w:type="dxa"/>
              <w:right w:w="240" w:type="dxa"/>
            </w:tcMar>
            <w:vAlign w:val="center"/>
          </w:tcPr>
          <w:p w14:paraId="733DE627">
            <w:pPr>
              <w:widowControl/>
              <w:snapToGrid w:val="0"/>
              <w:spacing w:line="240" w:lineRule="auto"/>
              <w:ind w:firstLine="0" w:firstLineChars="0"/>
              <w:jc w:val="center"/>
              <w:rPr>
                <w:rFonts w:asciiTheme="minorEastAsia" w:hAnsiTheme="minorEastAsia" w:eastAsiaTheme="minorEastAsia" w:cstheme="minorEastAsia"/>
                <w:b/>
                <w:color w:val="0F1115"/>
                <w:kern w:val="0"/>
                <w:szCs w:val="21"/>
                <w:lang w:bidi="ar"/>
              </w:rPr>
            </w:pPr>
            <w:r>
              <w:rPr>
                <w:rFonts w:hint="eastAsia" w:asciiTheme="minorEastAsia" w:hAnsiTheme="minorEastAsia" w:eastAsiaTheme="minorEastAsia" w:cstheme="minorEastAsia"/>
                <w:b/>
                <w:color w:val="0F1115"/>
                <w:kern w:val="0"/>
                <w:szCs w:val="21"/>
                <w:lang w:bidi="ar"/>
              </w:rPr>
              <w:t>大类</w:t>
            </w:r>
          </w:p>
        </w:tc>
        <w:tc>
          <w:tcPr>
            <w:tcW w:w="2521" w:type="dxa"/>
            <w:shd w:val="clear" w:color="auto" w:fill="auto"/>
            <w:tcMar>
              <w:top w:w="150" w:type="dxa"/>
              <w:left w:w="240" w:type="dxa"/>
              <w:bottom w:w="150" w:type="dxa"/>
              <w:right w:w="240" w:type="dxa"/>
            </w:tcMar>
            <w:vAlign w:val="center"/>
          </w:tcPr>
          <w:p w14:paraId="4273ABE1">
            <w:pPr>
              <w:widowControl/>
              <w:snapToGrid w:val="0"/>
              <w:spacing w:line="240" w:lineRule="auto"/>
              <w:ind w:firstLine="0" w:firstLineChars="0"/>
              <w:jc w:val="center"/>
              <w:rPr>
                <w:rFonts w:asciiTheme="minorEastAsia" w:hAnsiTheme="minorEastAsia" w:eastAsiaTheme="minorEastAsia" w:cstheme="minorEastAsia"/>
                <w:b/>
                <w:color w:val="0F1115"/>
                <w:kern w:val="0"/>
                <w:szCs w:val="21"/>
                <w:lang w:bidi="ar"/>
              </w:rPr>
            </w:pPr>
            <w:r>
              <w:rPr>
                <w:rFonts w:hint="eastAsia" w:asciiTheme="minorEastAsia" w:hAnsiTheme="minorEastAsia" w:eastAsiaTheme="minorEastAsia" w:cstheme="minorEastAsia"/>
                <w:b/>
                <w:color w:val="0F1115"/>
                <w:kern w:val="0"/>
                <w:szCs w:val="21"/>
                <w:lang w:bidi="ar"/>
              </w:rPr>
              <w:t>采集信息项</w:t>
            </w:r>
          </w:p>
        </w:tc>
        <w:tc>
          <w:tcPr>
            <w:tcW w:w="3493" w:type="dxa"/>
            <w:shd w:val="clear" w:color="auto" w:fill="auto"/>
            <w:tcMar>
              <w:top w:w="150" w:type="dxa"/>
              <w:left w:w="240" w:type="dxa"/>
              <w:bottom w:w="150" w:type="dxa"/>
              <w:right w:w="240" w:type="dxa"/>
            </w:tcMar>
            <w:vAlign w:val="center"/>
          </w:tcPr>
          <w:p w14:paraId="45C3F068">
            <w:pPr>
              <w:widowControl/>
              <w:snapToGrid w:val="0"/>
              <w:spacing w:line="240" w:lineRule="auto"/>
              <w:ind w:firstLine="0" w:firstLineChars="0"/>
              <w:jc w:val="center"/>
              <w:rPr>
                <w:rFonts w:asciiTheme="minorEastAsia" w:hAnsiTheme="minorEastAsia" w:eastAsiaTheme="minorEastAsia" w:cstheme="minorEastAsia"/>
                <w:b/>
                <w:color w:val="0F1115"/>
                <w:kern w:val="0"/>
                <w:szCs w:val="21"/>
                <w:lang w:bidi="ar"/>
              </w:rPr>
            </w:pPr>
            <w:r>
              <w:rPr>
                <w:rFonts w:hint="eastAsia" w:asciiTheme="minorEastAsia" w:hAnsiTheme="minorEastAsia" w:eastAsiaTheme="minorEastAsia" w:cstheme="minorEastAsia"/>
                <w:b/>
                <w:color w:val="0F1115"/>
                <w:kern w:val="0"/>
                <w:szCs w:val="21"/>
                <w:lang w:bidi="ar"/>
              </w:rPr>
              <w:t>信息记录/结果</w:t>
            </w:r>
          </w:p>
        </w:tc>
        <w:tc>
          <w:tcPr>
            <w:tcW w:w="1306" w:type="dxa"/>
            <w:shd w:val="clear" w:color="auto" w:fill="auto"/>
            <w:tcMar>
              <w:top w:w="150" w:type="dxa"/>
              <w:left w:w="240" w:type="dxa"/>
              <w:bottom w:w="150" w:type="dxa"/>
              <w:right w:w="240" w:type="dxa"/>
            </w:tcMar>
            <w:vAlign w:val="center"/>
          </w:tcPr>
          <w:p w14:paraId="418D50FD">
            <w:pPr>
              <w:widowControl/>
              <w:snapToGrid w:val="0"/>
              <w:spacing w:line="240" w:lineRule="auto"/>
              <w:ind w:firstLine="0" w:firstLineChars="0"/>
              <w:rPr>
                <w:rFonts w:asciiTheme="minorEastAsia" w:hAnsiTheme="minorEastAsia" w:eastAsiaTheme="minorEastAsia" w:cstheme="minorEastAsia"/>
                <w:b/>
                <w:color w:val="0F1115"/>
                <w:kern w:val="0"/>
                <w:szCs w:val="21"/>
                <w:lang w:bidi="ar"/>
              </w:rPr>
            </w:pPr>
            <w:r>
              <w:rPr>
                <w:rFonts w:hint="eastAsia" w:asciiTheme="minorEastAsia" w:hAnsiTheme="minorEastAsia" w:eastAsiaTheme="minorEastAsia" w:cstheme="minorEastAsia"/>
                <w:b/>
                <w:color w:val="0F1115"/>
                <w:kern w:val="0"/>
                <w:szCs w:val="21"/>
                <w:lang w:bidi="ar"/>
              </w:rPr>
              <w:t>检查情况/备注</w:t>
            </w:r>
          </w:p>
        </w:tc>
      </w:tr>
      <w:tr w14:paraId="0E5F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79" w:type="dxa"/>
            <w:vMerge w:val="restart"/>
            <w:shd w:val="clear" w:color="auto" w:fill="auto"/>
            <w:tcMar>
              <w:top w:w="150" w:type="dxa"/>
              <w:left w:w="0" w:type="dxa"/>
              <w:bottom w:w="150" w:type="dxa"/>
              <w:right w:w="240" w:type="dxa"/>
            </w:tcMar>
            <w:vAlign w:val="center"/>
          </w:tcPr>
          <w:p w14:paraId="420A2018">
            <w:pPr>
              <w:widowControl/>
              <w:ind w:firstLine="0" w:firstLineChars="0"/>
              <w:rPr>
                <w:rFonts w:asciiTheme="minorEastAsia" w:hAnsiTheme="minorEastAsia" w:eastAsiaTheme="minorEastAsia" w:cstheme="minorEastAsia"/>
                <w:szCs w:val="21"/>
              </w:rPr>
            </w:pPr>
            <w:r>
              <w:rPr>
                <w:rStyle w:val="32"/>
                <w:rFonts w:hint="eastAsia" w:asciiTheme="minorEastAsia" w:hAnsiTheme="minorEastAsia" w:eastAsiaTheme="minorEastAsia" w:cstheme="minorEastAsia"/>
                <w:bCs/>
                <w:kern w:val="0"/>
                <w:szCs w:val="21"/>
                <w:lang w:bidi="ar"/>
              </w:rPr>
              <w:t>人员信息</w:t>
            </w:r>
          </w:p>
        </w:tc>
        <w:tc>
          <w:tcPr>
            <w:tcW w:w="2521" w:type="dxa"/>
            <w:shd w:val="clear" w:color="auto" w:fill="auto"/>
            <w:tcMar>
              <w:top w:w="150" w:type="dxa"/>
              <w:left w:w="240" w:type="dxa"/>
              <w:bottom w:w="150" w:type="dxa"/>
              <w:right w:w="240" w:type="dxa"/>
            </w:tcMar>
            <w:vAlign w:val="center"/>
          </w:tcPr>
          <w:p w14:paraId="62B0A653">
            <w:pPr>
              <w:widowControl/>
              <w:spacing w:line="375" w:lineRule="atLeast"/>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主要操作人员</w:t>
            </w:r>
          </w:p>
        </w:tc>
        <w:tc>
          <w:tcPr>
            <w:tcW w:w="3493" w:type="dxa"/>
            <w:shd w:val="clear" w:color="auto" w:fill="auto"/>
            <w:tcMar>
              <w:top w:w="150" w:type="dxa"/>
              <w:left w:w="240" w:type="dxa"/>
              <w:bottom w:w="150" w:type="dxa"/>
              <w:right w:w="240" w:type="dxa"/>
            </w:tcMar>
            <w:vAlign w:val="center"/>
          </w:tcPr>
          <w:p w14:paraId="54400F79">
            <w:pPr>
              <w:widowControl/>
              <w:spacing w:line="375" w:lineRule="atLeast"/>
              <w:ind w:firstLine="0" w:firstLineChars="0"/>
              <w:jc w:val="left"/>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 xml:space="preserve">姓名：________ </w:t>
            </w:r>
          </w:p>
          <w:p w14:paraId="1E8AF266">
            <w:pPr>
              <w:widowControl/>
              <w:spacing w:line="375" w:lineRule="atLeast"/>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联系电话：________</w:t>
            </w:r>
          </w:p>
        </w:tc>
        <w:tc>
          <w:tcPr>
            <w:tcW w:w="1306" w:type="dxa"/>
            <w:shd w:val="clear" w:color="auto" w:fill="auto"/>
            <w:tcMar>
              <w:top w:w="150" w:type="dxa"/>
              <w:left w:w="240" w:type="dxa"/>
              <w:bottom w:w="150" w:type="dxa"/>
              <w:right w:w="0" w:type="dxa"/>
            </w:tcMar>
            <w:vAlign w:val="center"/>
          </w:tcPr>
          <w:p w14:paraId="4C31B023">
            <w:pPr>
              <w:widowControl/>
              <w:ind w:firstLine="0" w:firstLineChars="0"/>
              <w:rPr>
                <w:rFonts w:asciiTheme="minorEastAsia" w:hAnsiTheme="minorEastAsia" w:eastAsiaTheme="minorEastAsia" w:cstheme="minorEastAsia"/>
                <w:szCs w:val="21"/>
              </w:rPr>
            </w:pPr>
          </w:p>
        </w:tc>
      </w:tr>
      <w:tr w14:paraId="7141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15" w:hRule="atLeast"/>
        </w:trPr>
        <w:tc>
          <w:tcPr>
            <w:tcW w:w="1379" w:type="dxa"/>
            <w:vMerge w:val="continue"/>
            <w:shd w:val="clear" w:color="auto" w:fill="auto"/>
            <w:tcMar>
              <w:top w:w="150" w:type="dxa"/>
              <w:left w:w="0" w:type="dxa"/>
              <w:bottom w:w="150" w:type="dxa"/>
              <w:right w:w="240" w:type="dxa"/>
            </w:tcMar>
            <w:vAlign w:val="center"/>
          </w:tcPr>
          <w:p w14:paraId="0ED7A777">
            <w:pPr>
              <w:widowControl/>
              <w:ind w:firstLine="0" w:firstLineChars="0"/>
              <w:rPr>
                <w:rFonts w:asciiTheme="minorEastAsia" w:hAnsiTheme="minorEastAsia" w:eastAsiaTheme="minorEastAsia" w:cstheme="minorEastAsia"/>
                <w:szCs w:val="21"/>
              </w:rPr>
            </w:pPr>
          </w:p>
        </w:tc>
        <w:tc>
          <w:tcPr>
            <w:tcW w:w="2521" w:type="dxa"/>
            <w:shd w:val="clear" w:color="auto" w:fill="auto"/>
            <w:tcMar>
              <w:top w:w="150" w:type="dxa"/>
              <w:left w:w="240" w:type="dxa"/>
              <w:bottom w:w="150" w:type="dxa"/>
              <w:right w:w="240" w:type="dxa"/>
            </w:tcMar>
            <w:vAlign w:val="center"/>
          </w:tcPr>
          <w:p w14:paraId="61469C8D">
            <w:pPr>
              <w:widowControl/>
              <w:spacing w:line="375" w:lineRule="atLeast"/>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工艺操作、设备管理与</w:t>
            </w:r>
            <w:r>
              <w:rPr>
                <w:rFonts w:hint="eastAsia" w:asciiTheme="minorEastAsia" w:hAnsiTheme="minorEastAsia" w:eastAsiaTheme="minorEastAsia" w:cstheme="minorEastAsia"/>
                <w:color w:val="0F1115"/>
                <w:kern w:val="0"/>
                <w:szCs w:val="21"/>
                <w:lang w:bidi="ar"/>
              </w:rPr>
              <w:t>职业病危害</w:t>
            </w:r>
            <w:r>
              <w:rPr>
                <w:rFonts w:hint="eastAsia" w:asciiTheme="minorEastAsia" w:hAnsiTheme="minorEastAsia" w:eastAsiaTheme="minorEastAsia" w:cstheme="minorEastAsia"/>
                <w:kern w:val="0"/>
                <w:szCs w:val="21"/>
                <w:lang w:bidi="ar"/>
              </w:rPr>
              <w:t>培训记录</w:t>
            </w:r>
          </w:p>
        </w:tc>
        <w:tc>
          <w:tcPr>
            <w:tcW w:w="3493" w:type="dxa"/>
            <w:shd w:val="clear" w:color="auto" w:fill="auto"/>
            <w:tcMar>
              <w:top w:w="150" w:type="dxa"/>
              <w:left w:w="240" w:type="dxa"/>
              <w:bottom w:w="150" w:type="dxa"/>
              <w:right w:w="240" w:type="dxa"/>
            </w:tcMar>
            <w:vAlign w:val="center"/>
          </w:tcPr>
          <w:p w14:paraId="2892A347">
            <w:pPr>
              <w:widowControl/>
              <w:spacing w:line="375" w:lineRule="atLeast"/>
              <w:ind w:firstLine="0" w:firstLineChars="0"/>
              <w:jc w:val="left"/>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 xml:space="preserve">□已获得并查看 </w:t>
            </w:r>
          </w:p>
          <w:p w14:paraId="45185B65">
            <w:pPr>
              <w:widowControl/>
              <w:spacing w:line="375" w:lineRule="atLeast"/>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□未获得</w:t>
            </w:r>
            <w:r>
              <w:rPr>
                <w:rFonts w:hint="eastAsia" w:asciiTheme="minorEastAsia" w:hAnsiTheme="minorEastAsia" w:eastAsiaTheme="minorEastAsia" w:cstheme="minorEastAsia"/>
                <w:kern w:val="0"/>
                <w:szCs w:val="21"/>
                <w:lang w:bidi="ar"/>
              </w:rPr>
              <w:br w:type="textWrapping"/>
            </w:r>
            <w:r>
              <w:rPr>
                <w:rStyle w:val="32"/>
                <w:rFonts w:hint="eastAsia" w:asciiTheme="minorEastAsia" w:hAnsiTheme="minorEastAsia" w:eastAsiaTheme="minorEastAsia" w:cstheme="minorEastAsia"/>
                <w:b w:val="0"/>
                <w:kern w:val="0"/>
                <w:szCs w:val="21"/>
                <w:lang w:bidi="ar"/>
              </w:rPr>
              <w:t>培训内容：</w:t>
            </w:r>
            <w:r>
              <w:rPr>
                <w:rFonts w:hint="eastAsia" w:asciiTheme="minorEastAsia" w:hAnsiTheme="minorEastAsia" w:eastAsiaTheme="minorEastAsia" w:cstheme="minorEastAsia"/>
                <w:kern w:val="0"/>
                <w:szCs w:val="21"/>
                <w:lang w:bidi="ar"/>
              </w:rPr>
              <w:t>________________</w:t>
            </w:r>
          </w:p>
        </w:tc>
        <w:tc>
          <w:tcPr>
            <w:tcW w:w="1306" w:type="dxa"/>
            <w:shd w:val="clear" w:color="auto" w:fill="auto"/>
            <w:tcMar>
              <w:top w:w="150" w:type="dxa"/>
              <w:left w:w="240" w:type="dxa"/>
              <w:bottom w:w="150" w:type="dxa"/>
              <w:right w:w="0" w:type="dxa"/>
            </w:tcMar>
            <w:vAlign w:val="center"/>
          </w:tcPr>
          <w:p w14:paraId="7F2348FE">
            <w:pPr>
              <w:widowControl/>
              <w:ind w:firstLine="0" w:firstLineChars="0"/>
              <w:rPr>
                <w:rFonts w:asciiTheme="minorEastAsia" w:hAnsiTheme="minorEastAsia" w:eastAsiaTheme="minorEastAsia" w:cstheme="minorEastAsia"/>
                <w:szCs w:val="21"/>
              </w:rPr>
            </w:pPr>
          </w:p>
        </w:tc>
      </w:tr>
      <w:tr w14:paraId="342F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0" w:hRule="atLeast"/>
        </w:trPr>
        <w:tc>
          <w:tcPr>
            <w:tcW w:w="1379" w:type="dxa"/>
            <w:vMerge w:val="restart"/>
            <w:shd w:val="clear" w:color="auto" w:fill="auto"/>
            <w:tcMar>
              <w:top w:w="150" w:type="dxa"/>
              <w:left w:w="0" w:type="dxa"/>
              <w:bottom w:w="150" w:type="dxa"/>
              <w:right w:w="240" w:type="dxa"/>
            </w:tcMar>
            <w:vAlign w:val="center"/>
          </w:tcPr>
          <w:p w14:paraId="56C78045">
            <w:pPr>
              <w:widowControl/>
              <w:spacing w:line="375" w:lineRule="atLeast"/>
              <w:ind w:firstLine="0" w:firstLineChars="0"/>
              <w:jc w:val="left"/>
              <w:rPr>
                <w:rFonts w:asciiTheme="minorEastAsia" w:hAnsiTheme="minorEastAsia" w:eastAsiaTheme="minorEastAsia" w:cstheme="minorEastAsia"/>
                <w:szCs w:val="21"/>
              </w:rPr>
            </w:pPr>
            <w:r>
              <w:rPr>
                <w:rStyle w:val="32"/>
                <w:rFonts w:hint="eastAsia" w:asciiTheme="minorEastAsia" w:hAnsiTheme="minorEastAsia" w:eastAsiaTheme="minorEastAsia" w:cstheme="minorEastAsia"/>
                <w:bCs/>
                <w:kern w:val="0"/>
                <w:szCs w:val="21"/>
                <w:lang w:bidi="ar"/>
              </w:rPr>
              <w:t>设施与物料</w:t>
            </w:r>
          </w:p>
        </w:tc>
        <w:tc>
          <w:tcPr>
            <w:tcW w:w="2521" w:type="dxa"/>
            <w:shd w:val="clear" w:color="auto" w:fill="auto"/>
            <w:tcMar>
              <w:top w:w="150" w:type="dxa"/>
              <w:left w:w="240" w:type="dxa"/>
              <w:bottom w:w="150" w:type="dxa"/>
              <w:right w:w="240" w:type="dxa"/>
            </w:tcMar>
            <w:vAlign w:val="center"/>
          </w:tcPr>
          <w:p w14:paraId="30D83B71">
            <w:pPr>
              <w:widowControl/>
              <w:spacing w:line="375" w:lineRule="atLeast"/>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水池编号、容积、结构及材质</w:t>
            </w:r>
          </w:p>
        </w:tc>
        <w:tc>
          <w:tcPr>
            <w:tcW w:w="3493" w:type="dxa"/>
            <w:shd w:val="clear" w:color="auto" w:fill="auto"/>
            <w:tcMar>
              <w:top w:w="150" w:type="dxa"/>
              <w:left w:w="240" w:type="dxa"/>
              <w:bottom w:w="150" w:type="dxa"/>
              <w:right w:w="240" w:type="dxa"/>
            </w:tcMar>
            <w:vAlign w:val="center"/>
          </w:tcPr>
          <w:p w14:paraId="1F9BFF68">
            <w:pPr>
              <w:widowControl/>
              <w:spacing w:line="375" w:lineRule="atLeast"/>
              <w:ind w:firstLine="0" w:firstLineChars="0"/>
              <w:jc w:val="left"/>
              <w:rPr>
                <w:rFonts w:asciiTheme="minorEastAsia" w:hAnsiTheme="minorEastAsia" w:eastAsiaTheme="minorEastAsia" w:cstheme="minorEastAsia"/>
                <w:szCs w:val="21"/>
              </w:rPr>
            </w:pPr>
            <w:r>
              <w:rPr>
                <w:rStyle w:val="32"/>
                <w:rFonts w:hint="eastAsia" w:asciiTheme="minorEastAsia" w:hAnsiTheme="minorEastAsia" w:eastAsiaTheme="minorEastAsia" w:cstheme="minorEastAsia"/>
                <w:b w:val="0"/>
                <w:kern w:val="0"/>
                <w:szCs w:val="21"/>
                <w:lang w:bidi="ar"/>
              </w:rPr>
              <w:t>编号</w:t>
            </w:r>
            <w:r>
              <w:rPr>
                <w:rFonts w:hint="eastAsia" w:asciiTheme="minorEastAsia" w:hAnsiTheme="minorEastAsia" w:eastAsiaTheme="minorEastAsia" w:cstheme="minorEastAsia"/>
                <w:kern w:val="0"/>
                <w:szCs w:val="21"/>
                <w:lang w:bidi="ar"/>
              </w:rPr>
              <w:t>：________ </w:t>
            </w:r>
            <w:r>
              <w:rPr>
                <w:rStyle w:val="32"/>
                <w:rFonts w:hint="eastAsia" w:asciiTheme="minorEastAsia" w:hAnsiTheme="minorEastAsia" w:eastAsiaTheme="minorEastAsia" w:cstheme="minorEastAsia"/>
                <w:b w:val="0"/>
                <w:kern w:val="0"/>
                <w:szCs w:val="21"/>
                <w:lang w:bidi="ar"/>
              </w:rPr>
              <w:t>容积</w:t>
            </w:r>
            <w:r>
              <w:rPr>
                <w:rFonts w:hint="eastAsia" w:asciiTheme="minorEastAsia" w:hAnsiTheme="minorEastAsia" w:eastAsiaTheme="minorEastAsia" w:cstheme="minorEastAsia"/>
                <w:kern w:val="0"/>
                <w:szCs w:val="21"/>
                <w:lang w:bidi="ar"/>
              </w:rPr>
              <w:t>：________</w:t>
            </w:r>
            <w:r>
              <w:rPr>
                <w:rFonts w:hint="eastAsia" w:asciiTheme="minorEastAsia" w:hAnsiTheme="minorEastAsia" w:eastAsiaTheme="minorEastAsia" w:cstheme="minorEastAsia"/>
                <w:kern w:val="0"/>
                <w:szCs w:val="21"/>
                <w:lang w:bidi="ar"/>
              </w:rPr>
              <w:br w:type="textWrapping"/>
            </w:r>
            <w:r>
              <w:rPr>
                <w:rStyle w:val="32"/>
                <w:rFonts w:hint="eastAsia" w:asciiTheme="minorEastAsia" w:hAnsiTheme="minorEastAsia" w:eastAsiaTheme="minorEastAsia" w:cstheme="minorEastAsia"/>
                <w:b w:val="0"/>
                <w:kern w:val="0"/>
                <w:szCs w:val="21"/>
                <w:lang w:bidi="ar"/>
              </w:rPr>
              <w:t>结构/材质</w:t>
            </w:r>
            <w:r>
              <w:rPr>
                <w:rFonts w:hint="eastAsia" w:asciiTheme="minorEastAsia" w:hAnsiTheme="minorEastAsia" w:eastAsiaTheme="minorEastAsia" w:cstheme="minorEastAsia"/>
                <w:kern w:val="0"/>
                <w:szCs w:val="21"/>
                <w:lang w:bidi="ar"/>
              </w:rPr>
              <w:t>：________________</w:t>
            </w:r>
          </w:p>
        </w:tc>
        <w:tc>
          <w:tcPr>
            <w:tcW w:w="1306" w:type="dxa"/>
            <w:shd w:val="clear" w:color="auto" w:fill="auto"/>
            <w:tcMar>
              <w:top w:w="150" w:type="dxa"/>
              <w:left w:w="240" w:type="dxa"/>
              <w:bottom w:w="150" w:type="dxa"/>
              <w:right w:w="0" w:type="dxa"/>
            </w:tcMar>
            <w:vAlign w:val="center"/>
          </w:tcPr>
          <w:p w14:paraId="4359D47B">
            <w:pPr>
              <w:widowControl/>
              <w:ind w:firstLine="0" w:firstLineChars="0"/>
              <w:rPr>
                <w:rFonts w:asciiTheme="minorEastAsia" w:hAnsiTheme="minorEastAsia" w:eastAsiaTheme="minorEastAsia" w:cstheme="minorEastAsia"/>
                <w:szCs w:val="21"/>
              </w:rPr>
            </w:pPr>
          </w:p>
        </w:tc>
      </w:tr>
      <w:tr w14:paraId="700A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0" w:hRule="atLeast"/>
        </w:trPr>
        <w:tc>
          <w:tcPr>
            <w:tcW w:w="1379" w:type="dxa"/>
            <w:vMerge w:val="continue"/>
            <w:shd w:val="clear" w:color="auto" w:fill="auto"/>
            <w:tcMar>
              <w:top w:w="150" w:type="dxa"/>
              <w:left w:w="0" w:type="dxa"/>
              <w:bottom w:w="150" w:type="dxa"/>
              <w:right w:w="240" w:type="dxa"/>
            </w:tcMar>
            <w:vAlign w:val="center"/>
          </w:tcPr>
          <w:p w14:paraId="4889FC26">
            <w:pPr>
              <w:widowControl/>
              <w:ind w:firstLine="0" w:firstLineChars="0"/>
              <w:rPr>
                <w:rFonts w:asciiTheme="minorEastAsia" w:hAnsiTheme="minorEastAsia" w:eastAsiaTheme="minorEastAsia" w:cstheme="minorEastAsia"/>
                <w:szCs w:val="21"/>
              </w:rPr>
            </w:pPr>
          </w:p>
        </w:tc>
        <w:tc>
          <w:tcPr>
            <w:tcW w:w="2521" w:type="dxa"/>
            <w:shd w:val="clear" w:color="auto" w:fill="auto"/>
            <w:tcMar>
              <w:top w:w="150" w:type="dxa"/>
              <w:left w:w="240" w:type="dxa"/>
              <w:bottom w:w="150" w:type="dxa"/>
              <w:right w:w="240" w:type="dxa"/>
            </w:tcMar>
            <w:vAlign w:val="center"/>
          </w:tcPr>
          <w:p w14:paraId="7932FC0D">
            <w:pPr>
              <w:widowControl/>
              <w:spacing w:line="375" w:lineRule="atLeast"/>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处理废水的特征污染物清单</w:t>
            </w:r>
          </w:p>
        </w:tc>
        <w:tc>
          <w:tcPr>
            <w:tcW w:w="3493" w:type="dxa"/>
            <w:shd w:val="clear" w:color="auto" w:fill="auto"/>
            <w:tcMar>
              <w:top w:w="150" w:type="dxa"/>
              <w:left w:w="240" w:type="dxa"/>
              <w:bottom w:w="150" w:type="dxa"/>
              <w:right w:w="240" w:type="dxa"/>
            </w:tcMar>
            <w:vAlign w:val="center"/>
          </w:tcPr>
          <w:p w14:paraId="45307147">
            <w:pPr>
              <w:widowControl/>
              <w:spacing w:line="375" w:lineRule="atLeast"/>
              <w:ind w:firstLine="0" w:firstLineChars="0"/>
              <w:jc w:val="left"/>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 xml:space="preserve">□已获得并查看 </w:t>
            </w:r>
          </w:p>
          <w:p w14:paraId="48FFBC8A">
            <w:pPr>
              <w:widowControl/>
              <w:spacing w:line="375" w:lineRule="atLeast"/>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□未制定</w:t>
            </w:r>
            <w:r>
              <w:rPr>
                <w:rFonts w:hint="eastAsia" w:asciiTheme="minorEastAsia" w:hAnsiTheme="minorEastAsia" w:eastAsiaTheme="minorEastAsia" w:cstheme="minorEastAsia"/>
                <w:kern w:val="0"/>
                <w:szCs w:val="21"/>
                <w:lang w:bidi="ar"/>
              </w:rPr>
              <w:br w:type="textWrapping"/>
            </w:r>
            <w:r>
              <w:rPr>
                <w:rStyle w:val="32"/>
                <w:rFonts w:hint="eastAsia" w:asciiTheme="minorEastAsia" w:hAnsiTheme="minorEastAsia" w:eastAsiaTheme="minorEastAsia" w:cstheme="minorEastAsia"/>
                <w:b w:val="0"/>
                <w:kern w:val="0"/>
                <w:szCs w:val="21"/>
                <w:lang w:bidi="ar"/>
              </w:rPr>
              <w:t>主要污染物：</w:t>
            </w:r>
            <w:r>
              <w:rPr>
                <w:rFonts w:hint="eastAsia" w:asciiTheme="minorEastAsia" w:hAnsiTheme="minorEastAsia" w:eastAsiaTheme="minorEastAsia" w:cstheme="minorEastAsia"/>
                <w:kern w:val="0"/>
                <w:szCs w:val="21"/>
                <w:lang w:bidi="ar"/>
              </w:rPr>
              <w:t> ________</w:t>
            </w:r>
          </w:p>
        </w:tc>
        <w:tc>
          <w:tcPr>
            <w:tcW w:w="1306" w:type="dxa"/>
            <w:shd w:val="clear" w:color="auto" w:fill="auto"/>
            <w:tcMar>
              <w:top w:w="150" w:type="dxa"/>
              <w:left w:w="240" w:type="dxa"/>
              <w:bottom w:w="150" w:type="dxa"/>
              <w:right w:w="0" w:type="dxa"/>
            </w:tcMar>
            <w:vAlign w:val="center"/>
          </w:tcPr>
          <w:p w14:paraId="6BCE0E84">
            <w:pPr>
              <w:widowControl/>
              <w:ind w:firstLine="0" w:firstLineChars="0"/>
              <w:rPr>
                <w:rFonts w:asciiTheme="minorEastAsia" w:hAnsiTheme="minorEastAsia" w:eastAsiaTheme="minorEastAsia" w:cstheme="minorEastAsia"/>
                <w:szCs w:val="21"/>
              </w:rPr>
            </w:pPr>
          </w:p>
        </w:tc>
      </w:tr>
      <w:tr w14:paraId="13318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31" w:hRule="atLeast"/>
        </w:trPr>
        <w:tc>
          <w:tcPr>
            <w:tcW w:w="1379" w:type="dxa"/>
            <w:vMerge w:val="continue"/>
            <w:shd w:val="clear" w:color="auto" w:fill="auto"/>
            <w:tcMar>
              <w:top w:w="150" w:type="dxa"/>
              <w:left w:w="0" w:type="dxa"/>
              <w:bottom w:w="150" w:type="dxa"/>
              <w:right w:w="240" w:type="dxa"/>
            </w:tcMar>
            <w:vAlign w:val="center"/>
          </w:tcPr>
          <w:p w14:paraId="238F0726">
            <w:pPr>
              <w:widowControl/>
              <w:ind w:firstLine="0" w:firstLineChars="0"/>
              <w:rPr>
                <w:rFonts w:asciiTheme="minorEastAsia" w:hAnsiTheme="minorEastAsia" w:eastAsiaTheme="minorEastAsia" w:cstheme="minorEastAsia"/>
                <w:szCs w:val="21"/>
              </w:rPr>
            </w:pPr>
          </w:p>
        </w:tc>
        <w:tc>
          <w:tcPr>
            <w:tcW w:w="2521" w:type="dxa"/>
            <w:shd w:val="clear" w:color="auto" w:fill="auto"/>
            <w:tcMar>
              <w:top w:w="150" w:type="dxa"/>
              <w:left w:w="240" w:type="dxa"/>
              <w:bottom w:w="150" w:type="dxa"/>
              <w:right w:w="240" w:type="dxa"/>
            </w:tcMar>
            <w:vAlign w:val="center"/>
          </w:tcPr>
          <w:p w14:paraId="2A93FB92">
            <w:pPr>
              <w:widowControl/>
              <w:spacing w:line="375" w:lineRule="atLeast"/>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池体及区域地面的防渗完好性</w:t>
            </w:r>
          </w:p>
        </w:tc>
        <w:tc>
          <w:tcPr>
            <w:tcW w:w="3493" w:type="dxa"/>
            <w:shd w:val="clear" w:color="auto" w:fill="auto"/>
            <w:tcMar>
              <w:top w:w="150" w:type="dxa"/>
              <w:left w:w="240" w:type="dxa"/>
              <w:bottom w:w="150" w:type="dxa"/>
              <w:right w:w="240" w:type="dxa"/>
            </w:tcMar>
            <w:vAlign w:val="center"/>
          </w:tcPr>
          <w:p w14:paraId="488C1387">
            <w:pPr>
              <w:widowControl/>
              <w:spacing w:line="375" w:lineRule="atLeast"/>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□完好 □存在裂缝/破损/老化</w:t>
            </w:r>
          </w:p>
        </w:tc>
        <w:tc>
          <w:tcPr>
            <w:tcW w:w="1306" w:type="dxa"/>
            <w:shd w:val="clear" w:color="auto" w:fill="auto"/>
            <w:tcMar>
              <w:top w:w="150" w:type="dxa"/>
              <w:left w:w="240" w:type="dxa"/>
              <w:bottom w:w="150" w:type="dxa"/>
              <w:right w:w="0" w:type="dxa"/>
            </w:tcMar>
            <w:vAlign w:val="center"/>
          </w:tcPr>
          <w:p w14:paraId="62F1D848">
            <w:pPr>
              <w:widowControl/>
              <w:spacing w:line="375" w:lineRule="atLeast"/>
              <w:ind w:firstLine="0" w:firstLineChars="0"/>
              <w:jc w:val="left"/>
              <w:rPr>
                <w:rFonts w:asciiTheme="minorEastAsia" w:hAnsiTheme="minorEastAsia" w:eastAsiaTheme="minorEastAsia" w:cstheme="minorEastAsia"/>
                <w:szCs w:val="21"/>
              </w:rPr>
            </w:pPr>
            <w:r>
              <w:rPr>
                <w:rStyle w:val="32"/>
                <w:rFonts w:hint="eastAsia" w:asciiTheme="minorEastAsia" w:hAnsiTheme="minorEastAsia" w:eastAsiaTheme="minorEastAsia" w:cstheme="minorEastAsia"/>
                <w:b w:val="0"/>
                <w:kern w:val="0"/>
                <w:szCs w:val="21"/>
                <w:lang w:bidi="ar"/>
              </w:rPr>
              <w:t>具体位置与问题描述：</w:t>
            </w:r>
          </w:p>
        </w:tc>
      </w:tr>
      <w:tr w14:paraId="3EC4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69" w:hRule="atLeast"/>
        </w:trPr>
        <w:tc>
          <w:tcPr>
            <w:tcW w:w="1379" w:type="dxa"/>
            <w:vMerge w:val="restart"/>
            <w:shd w:val="clear" w:color="auto" w:fill="auto"/>
            <w:tcMar>
              <w:top w:w="150" w:type="dxa"/>
              <w:left w:w="0" w:type="dxa"/>
              <w:bottom w:w="150" w:type="dxa"/>
              <w:right w:w="240" w:type="dxa"/>
            </w:tcMar>
            <w:vAlign w:val="center"/>
          </w:tcPr>
          <w:p w14:paraId="64202A80">
            <w:pPr>
              <w:widowControl/>
              <w:spacing w:line="375" w:lineRule="atLeast"/>
              <w:ind w:firstLine="0" w:firstLineChars="0"/>
              <w:jc w:val="left"/>
              <w:rPr>
                <w:rFonts w:asciiTheme="minorEastAsia" w:hAnsiTheme="minorEastAsia" w:eastAsiaTheme="minorEastAsia" w:cstheme="minorEastAsia"/>
                <w:szCs w:val="21"/>
              </w:rPr>
            </w:pPr>
            <w:r>
              <w:rPr>
                <w:rStyle w:val="32"/>
                <w:rFonts w:hint="eastAsia" w:asciiTheme="minorEastAsia" w:hAnsiTheme="minorEastAsia" w:eastAsiaTheme="minorEastAsia" w:cstheme="minorEastAsia"/>
                <w:bCs/>
                <w:kern w:val="0"/>
                <w:szCs w:val="21"/>
                <w:lang w:bidi="ar"/>
              </w:rPr>
              <w:t>运行与记录</w:t>
            </w:r>
          </w:p>
        </w:tc>
        <w:tc>
          <w:tcPr>
            <w:tcW w:w="2521" w:type="dxa"/>
            <w:shd w:val="clear" w:color="auto" w:fill="auto"/>
            <w:tcMar>
              <w:top w:w="150" w:type="dxa"/>
              <w:left w:w="240" w:type="dxa"/>
              <w:bottom w:w="150" w:type="dxa"/>
              <w:right w:w="240" w:type="dxa"/>
            </w:tcMar>
            <w:vAlign w:val="center"/>
          </w:tcPr>
          <w:p w14:paraId="6BF42971">
            <w:pPr>
              <w:widowControl/>
              <w:spacing w:line="375" w:lineRule="atLeast"/>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水池液位、设备运行及区域地面的日常巡检记录</w:t>
            </w:r>
          </w:p>
        </w:tc>
        <w:tc>
          <w:tcPr>
            <w:tcW w:w="3493" w:type="dxa"/>
            <w:shd w:val="clear" w:color="auto" w:fill="auto"/>
            <w:tcMar>
              <w:top w:w="150" w:type="dxa"/>
              <w:left w:w="240" w:type="dxa"/>
              <w:bottom w:w="150" w:type="dxa"/>
              <w:right w:w="240" w:type="dxa"/>
            </w:tcMar>
            <w:vAlign w:val="center"/>
          </w:tcPr>
          <w:p w14:paraId="22A9DC5E">
            <w:pPr>
              <w:widowControl/>
              <w:spacing w:line="375" w:lineRule="atLeast"/>
              <w:ind w:firstLine="0" w:firstLineChars="0"/>
              <w:jc w:val="left"/>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 xml:space="preserve">□记录完整 </w:t>
            </w:r>
          </w:p>
          <w:p w14:paraId="5B07058F">
            <w:pPr>
              <w:widowControl/>
              <w:spacing w:line="375" w:lineRule="atLeast"/>
              <w:ind w:firstLine="0" w:firstLineChars="0"/>
              <w:jc w:val="left"/>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 xml:space="preserve">□记录不全 </w:t>
            </w:r>
          </w:p>
          <w:p w14:paraId="18E3C940">
            <w:pPr>
              <w:widowControl/>
              <w:spacing w:line="375" w:lineRule="atLeast"/>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□无记录</w:t>
            </w:r>
            <w:r>
              <w:rPr>
                <w:rFonts w:hint="eastAsia" w:asciiTheme="minorEastAsia" w:hAnsiTheme="minorEastAsia" w:eastAsiaTheme="minorEastAsia" w:cstheme="minorEastAsia"/>
                <w:kern w:val="0"/>
                <w:szCs w:val="21"/>
                <w:lang w:bidi="ar"/>
              </w:rPr>
              <w:br w:type="textWrapping"/>
            </w:r>
            <w:r>
              <w:rPr>
                <w:rStyle w:val="32"/>
                <w:rFonts w:hint="eastAsia" w:asciiTheme="minorEastAsia" w:hAnsiTheme="minorEastAsia" w:eastAsiaTheme="minorEastAsia" w:cstheme="minorEastAsia"/>
                <w:b w:val="0"/>
                <w:kern w:val="0"/>
                <w:szCs w:val="21"/>
                <w:lang w:bidi="ar"/>
              </w:rPr>
              <w:t>检查周期：</w:t>
            </w:r>
            <w:r>
              <w:rPr>
                <w:rFonts w:hint="eastAsia" w:asciiTheme="minorEastAsia" w:hAnsiTheme="minorEastAsia" w:eastAsiaTheme="minorEastAsia" w:cstheme="minorEastAsia"/>
                <w:kern w:val="0"/>
                <w:szCs w:val="21"/>
                <w:lang w:bidi="ar"/>
              </w:rPr>
              <w:t>□每日 □每周 □其他：________</w:t>
            </w:r>
          </w:p>
        </w:tc>
        <w:tc>
          <w:tcPr>
            <w:tcW w:w="1306" w:type="dxa"/>
            <w:shd w:val="clear" w:color="auto" w:fill="auto"/>
            <w:tcMar>
              <w:top w:w="150" w:type="dxa"/>
              <w:left w:w="240" w:type="dxa"/>
              <w:bottom w:w="150" w:type="dxa"/>
              <w:right w:w="0" w:type="dxa"/>
            </w:tcMar>
            <w:vAlign w:val="center"/>
          </w:tcPr>
          <w:p w14:paraId="40130D21">
            <w:pPr>
              <w:widowControl/>
              <w:ind w:firstLine="0" w:firstLineChars="0"/>
              <w:rPr>
                <w:rFonts w:asciiTheme="minorEastAsia" w:hAnsiTheme="minorEastAsia" w:eastAsiaTheme="minorEastAsia" w:cstheme="minorEastAsia"/>
                <w:szCs w:val="21"/>
              </w:rPr>
            </w:pPr>
          </w:p>
        </w:tc>
      </w:tr>
      <w:tr w14:paraId="1EE6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79" w:type="dxa"/>
            <w:vMerge w:val="continue"/>
            <w:shd w:val="clear" w:color="auto" w:fill="auto"/>
            <w:tcMar>
              <w:top w:w="150" w:type="dxa"/>
              <w:left w:w="0" w:type="dxa"/>
              <w:bottom w:w="150" w:type="dxa"/>
              <w:right w:w="240" w:type="dxa"/>
            </w:tcMar>
            <w:vAlign w:val="center"/>
          </w:tcPr>
          <w:p w14:paraId="05829968">
            <w:pPr>
              <w:widowControl/>
              <w:ind w:firstLine="0" w:firstLineChars="0"/>
              <w:rPr>
                <w:rFonts w:asciiTheme="minorEastAsia" w:hAnsiTheme="minorEastAsia" w:eastAsiaTheme="minorEastAsia" w:cstheme="minorEastAsia"/>
                <w:szCs w:val="21"/>
              </w:rPr>
            </w:pPr>
          </w:p>
        </w:tc>
        <w:tc>
          <w:tcPr>
            <w:tcW w:w="2521" w:type="dxa"/>
            <w:shd w:val="clear" w:color="auto" w:fill="auto"/>
            <w:tcMar>
              <w:top w:w="150" w:type="dxa"/>
              <w:left w:w="240" w:type="dxa"/>
              <w:bottom w:w="150" w:type="dxa"/>
              <w:right w:w="240" w:type="dxa"/>
            </w:tcMar>
            <w:vAlign w:val="center"/>
          </w:tcPr>
          <w:p w14:paraId="03C3CC44">
            <w:pPr>
              <w:widowControl/>
              <w:spacing w:line="375" w:lineRule="atLeast"/>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水池完整性检测报告（如满水试验）</w:t>
            </w:r>
          </w:p>
        </w:tc>
        <w:tc>
          <w:tcPr>
            <w:tcW w:w="3493" w:type="dxa"/>
            <w:shd w:val="clear" w:color="auto" w:fill="auto"/>
            <w:tcMar>
              <w:top w:w="150" w:type="dxa"/>
              <w:left w:w="240" w:type="dxa"/>
              <w:bottom w:w="150" w:type="dxa"/>
              <w:right w:w="240" w:type="dxa"/>
            </w:tcMar>
            <w:vAlign w:val="center"/>
          </w:tcPr>
          <w:p w14:paraId="2D8AA45A">
            <w:pPr>
              <w:widowControl/>
              <w:spacing w:line="375" w:lineRule="atLeast"/>
              <w:ind w:firstLine="0" w:firstLineChars="0"/>
              <w:jc w:val="left"/>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 xml:space="preserve">□有报告，结论合格 </w:t>
            </w:r>
          </w:p>
          <w:p w14:paraId="4E14955D">
            <w:pPr>
              <w:widowControl/>
              <w:spacing w:line="375" w:lineRule="atLeast"/>
              <w:ind w:firstLine="0" w:firstLineChars="0"/>
              <w:jc w:val="left"/>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□有报告，结论不合格</w:t>
            </w:r>
          </w:p>
          <w:p w14:paraId="544B1A66">
            <w:pPr>
              <w:widowControl/>
              <w:spacing w:line="375" w:lineRule="atLeast"/>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□无报告</w:t>
            </w:r>
            <w:r>
              <w:rPr>
                <w:rFonts w:hint="eastAsia" w:asciiTheme="minorEastAsia" w:hAnsiTheme="minorEastAsia" w:eastAsiaTheme="minorEastAsia" w:cstheme="minorEastAsia"/>
                <w:kern w:val="0"/>
                <w:szCs w:val="21"/>
                <w:lang w:bidi="ar"/>
              </w:rPr>
              <w:br w:type="textWrapping"/>
            </w:r>
            <w:r>
              <w:rPr>
                <w:rStyle w:val="32"/>
                <w:rFonts w:hint="eastAsia" w:asciiTheme="minorEastAsia" w:hAnsiTheme="minorEastAsia" w:eastAsiaTheme="minorEastAsia" w:cstheme="minorEastAsia"/>
                <w:b w:val="0"/>
                <w:kern w:val="0"/>
                <w:szCs w:val="21"/>
                <w:lang w:bidi="ar"/>
              </w:rPr>
              <w:t>最近检测日期：</w:t>
            </w:r>
            <w:r>
              <w:rPr>
                <w:rFonts w:hint="eastAsia" w:asciiTheme="minorEastAsia" w:hAnsiTheme="minorEastAsia" w:eastAsiaTheme="minorEastAsia" w:cstheme="minorEastAsia"/>
                <w:kern w:val="0"/>
                <w:szCs w:val="21"/>
                <w:lang w:bidi="ar"/>
              </w:rPr>
              <w:t> ________</w:t>
            </w:r>
          </w:p>
        </w:tc>
        <w:tc>
          <w:tcPr>
            <w:tcW w:w="1306" w:type="dxa"/>
            <w:shd w:val="clear" w:color="auto" w:fill="auto"/>
            <w:tcMar>
              <w:top w:w="150" w:type="dxa"/>
              <w:left w:w="240" w:type="dxa"/>
              <w:bottom w:w="150" w:type="dxa"/>
              <w:right w:w="0" w:type="dxa"/>
            </w:tcMar>
            <w:vAlign w:val="center"/>
          </w:tcPr>
          <w:p w14:paraId="0EA0D084">
            <w:pPr>
              <w:widowControl/>
              <w:ind w:firstLine="0" w:firstLineChars="0"/>
              <w:rPr>
                <w:rFonts w:asciiTheme="minorEastAsia" w:hAnsiTheme="minorEastAsia" w:eastAsiaTheme="minorEastAsia" w:cstheme="minorEastAsia"/>
                <w:szCs w:val="21"/>
              </w:rPr>
            </w:pPr>
          </w:p>
        </w:tc>
      </w:tr>
    </w:tbl>
    <w:p w14:paraId="004F61F9">
      <w:pPr>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p>
    <w:p w14:paraId="6023F7A6">
      <w:pPr>
        <w:pStyle w:val="2"/>
        <w:spacing w:line="240" w:lineRule="auto"/>
        <w:jc w:val="center"/>
        <w:rPr>
          <w:color w:val="000000" w:themeColor="text1"/>
          <w:szCs w:val="21"/>
          <w14:textFill>
            <w14:solidFill>
              <w14:schemeClr w14:val="tx1"/>
            </w14:solidFill>
          </w14:textFill>
        </w:rPr>
      </w:pPr>
      <w:bookmarkStart w:id="26" w:name="_Toc31314"/>
      <w:r>
        <w:rPr>
          <w:rFonts w:hint="eastAsia"/>
          <w:color w:val="000000" w:themeColor="text1"/>
          <w:szCs w:val="21"/>
          <w14:textFill>
            <w14:solidFill>
              <w14:schemeClr w14:val="tx1"/>
            </w14:solidFill>
          </w14:textFill>
        </w:rPr>
        <w:t>附录D</w:t>
      </w:r>
      <w:bookmarkEnd w:id="26"/>
      <w:bookmarkStart w:id="27" w:name="_Toc9431"/>
      <w:r>
        <w:rPr>
          <w:rFonts w:hint="eastAsia"/>
          <w:color w:val="000000" w:themeColor="text1"/>
          <w:szCs w:val="21"/>
          <w14:textFill>
            <w14:solidFill>
              <w14:schemeClr w14:val="tx1"/>
            </w14:solidFill>
          </w14:textFill>
        </w:rPr>
        <w:t>（资料性）固体废物贮存区信息收集表</w:t>
      </w:r>
    </w:p>
    <w:p w14:paraId="4679492A">
      <w:pPr>
        <w:jc w:val="left"/>
      </w:pPr>
      <w:r>
        <w:rPr>
          <w:rFonts w:hint="eastAsia"/>
        </w:rPr>
        <w:t>固体废物贮存区信息收集表见表D.1</w:t>
      </w:r>
    </w:p>
    <w:bookmarkEnd w:id="27"/>
    <w:p w14:paraId="5A9785B4">
      <w:pPr>
        <w:pStyle w:val="9"/>
        <w:ind w:firstLine="0" w:firstLineChars="0"/>
        <w:jc w:val="center"/>
        <w:rPr>
          <w:rFonts w:ascii="黑体" w:hAnsi="黑体" w:cs="黑体"/>
          <w:sz w:val="21"/>
        </w:rPr>
      </w:pPr>
      <w:r>
        <w:rPr>
          <w:rFonts w:hint="eastAsia" w:ascii="黑体" w:hAnsi="黑体" w:cs="黑体"/>
          <w:sz w:val="21"/>
        </w:rPr>
        <w:t>表D.1固体废物贮存区信息收集表</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14"/>
        <w:gridCol w:w="2700"/>
        <w:gridCol w:w="3327"/>
        <w:gridCol w:w="1511"/>
      </w:tblGrid>
      <w:tr w14:paraId="0157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1014" w:type="dxa"/>
            <w:shd w:val="clear" w:color="auto" w:fill="auto"/>
            <w:tcMar>
              <w:top w:w="150" w:type="dxa"/>
              <w:left w:w="0" w:type="dxa"/>
              <w:bottom w:w="150" w:type="dxa"/>
              <w:right w:w="240" w:type="dxa"/>
            </w:tcMar>
            <w:vAlign w:val="center"/>
          </w:tcPr>
          <w:p w14:paraId="7765113D">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大类</w:t>
            </w:r>
          </w:p>
        </w:tc>
        <w:tc>
          <w:tcPr>
            <w:tcW w:w="2700" w:type="dxa"/>
            <w:shd w:val="clear" w:color="auto" w:fill="auto"/>
            <w:tcMar>
              <w:top w:w="150" w:type="dxa"/>
              <w:left w:w="240" w:type="dxa"/>
              <w:bottom w:w="150" w:type="dxa"/>
              <w:right w:w="240" w:type="dxa"/>
            </w:tcMar>
            <w:vAlign w:val="center"/>
          </w:tcPr>
          <w:p w14:paraId="05B59C1A">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采集信息项</w:t>
            </w:r>
          </w:p>
        </w:tc>
        <w:tc>
          <w:tcPr>
            <w:tcW w:w="3327" w:type="dxa"/>
            <w:shd w:val="clear" w:color="auto" w:fill="auto"/>
            <w:tcMar>
              <w:top w:w="150" w:type="dxa"/>
              <w:left w:w="240" w:type="dxa"/>
              <w:bottom w:w="150" w:type="dxa"/>
              <w:right w:w="240" w:type="dxa"/>
            </w:tcMar>
            <w:vAlign w:val="center"/>
          </w:tcPr>
          <w:p w14:paraId="0B2C8405">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信息记录/结果</w:t>
            </w:r>
          </w:p>
        </w:tc>
        <w:tc>
          <w:tcPr>
            <w:tcW w:w="1511" w:type="dxa"/>
            <w:shd w:val="clear" w:color="auto" w:fill="auto"/>
            <w:tcMar>
              <w:top w:w="150" w:type="dxa"/>
              <w:left w:w="240" w:type="dxa"/>
              <w:bottom w:w="150" w:type="dxa"/>
              <w:right w:w="240" w:type="dxa"/>
            </w:tcMar>
            <w:vAlign w:val="center"/>
          </w:tcPr>
          <w:p w14:paraId="15D7ACDB">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检查情况/备注</w:t>
            </w:r>
          </w:p>
        </w:tc>
      </w:tr>
      <w:tr w14:paraId="1D3B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14" w:type="dxa"/>
            <w:vMerge w:val="restart"/>
            <w:shd w:val="clear" w:color="auto" w:fill="auto"/>
            <w:tcMar>
              <w:top w:w="150" w:type="dxa"/>
              <w:left w:w="0" w:type="dxa"/>
              <w:bottom w:w="150" w:type="dxa"/>
              <w:right w:w="240" w:type="dxa"/>
            </w:tcMar>
            <w:vAlign w:val="center"/>
          </w:tcPr>
          <w:p w14:paraId="49382541">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人员</w:t>
            </w:r>
          </w:p>
          <w:p w14:paraId="4713B43B">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信息</w:t>
            </w:r>
          </w:p>
        </w:tc>
        <w:tc>
          <w:tcPr>
            <w:tcW w:w="2700" w:type="dxa"/>
            <w:shd w:val="clear" w:color="auto" w:fill="auto"/>
            <w:tcMar>
              <w:top w:w="150" w:type="dxa"/>
              <w:left w:w="240" w:type="dxa"/>
              <w:bottom w:w="150" w:type="dxa"/>
              <w:right w:w="240" w:type="dxa"/>
            </w:tcMar>
            <w:vAlign w:val="center"/>
          </w:tcPr>
          <w:p w14:paraId="58CF2711">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固废仓库管理员</w:t>
            </w:r>
          </w:p>
        </w:tc>
        <w:tc>
          <w:tcPr>
            <w:tcW w:w="3327" w:type="dxa"/>
            <w:shd w:val="clear" w:color="auto" w:fill="auto"/>
            <w:tcMar>
              <w:top w:w="150" w:type="dxa"/>
              <w:left w:w="240" w:type="dxa"/>
              <w:bottom w:w="150" w:type="dxa"/>
              <w:right w:w="240" w:type="dxa"/>
            </w:tcMar>
            <w:vAlign w:val="center"/>
          </w:tcPr>
          <w:p w14:paraId="2DBDEBC9">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 xml:space="preserve">姓名：________ </w:t>
            </w:r>
          </w:p>
          <w:p w14:paraId="76495F8A">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联系电话：________</w:t>
            </w:r>
          </w:p>
        </w:tc>
        <w:tc>
          <w:tcPr>
            <w:tcW w:w="1511" w:type="dxa"/>
            <w:shd w:val="clear" w:color="auto" w:fill="auto"/>
            <w:tcMar>
              <w:top w:w="150" w:type="dxa"/>
              <w:left w:w="240" w:type="dxa"/>
              <w:bottom w:w="150" w:type="dxa"/>
              <w:right w:w="0" w:type="dxa"/>
            </w:tcMar>
            <w:vAlign w:val="center"/>
          </w:tcPr>
          <w:p w14:paraId="76A14A64">
            <w:pPr>
              <w:widowControl/>
              <w:spacing w:line="375" w:lineRule="atLeast"/>
              <w:ind w:firstLine="0" w:firstLineChars="0"/>
              <w:jc w:val="left"/>
              <w:rPr>
                <w:rStyle w:val="32"/>
                <w:rFonts w:ascii="宋体" w:hAnsi="宋体" w:cs="宋体"/>
                <w:b w:val="0"/>
                <w:kern w:val="0"/>
                <w:szCs w:val="21"/>
                <w:lang w:bidi="ar"/>
              </w:rPr>
            </w:pPr>
          </w:p>
        </w:tc>
      </w:tr>
      <w:tr w14:paraId="3E63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14" w:type="dxa"/>
            <w:vMerge w:val="continue"/>
            <w:shd w:val="clear" w:color="auto" w:fill="auto"/>
            <w:tcMar>
              <w:top w:w="150" w:type="dxa"/>
              <w:left w:w="0" w:type="dxa"/>
              <w:bottom w:w="150" w:type="dxa"/>
              <w:right w:w="240" w:type="dxa"/>
            </w:tcMar>
            <w:vAlign w:val="center"/>
          </w:tcPr>
          <w:p w14:paraId="1B155793">
            <w:pPr>
              <w:widowControl/>
              <w:spacing w:line="375" w:lineRule="atLeast"/>
              <w:ind w:firstLine="0" w:firstLineChars="0"/>
              <w:jc w:val="left"/>
              <w:rPr>
                <w:rStyle w:val="32"/>
                <w:rFonts w:ascii="宋体" w:hAnsi="宋体" w:cs="宋体"/>
                <w:bCs/>
                <w:kern w:val="0"/>
                <w:szCs w:val="21"/>
                <w:lang w:bidi="ar"/>
              </w:rPr>
            </w:pPr>
          </w:p>
        </w:tc>
        <w:tc>
          <w:tcPr>
            <w:tcW w:w="2700" w:type="dxa"/>
            <w:shd w:val="clear" w:color="auto" w:fill="auto"/>
            <w:tcMar>
              <w:top w:w="150" w:type="dxa"/>
              <w:left w:w="240" w:type="dxa"/>
              <w:bottom w:w="150" w:type="dxa"/>
              <w:right w:w="240" w:type="dxa"/>
            </w:tcMar>
            <w:vAlign w:val="center"/>
          </w:tcPr>
          <w:p w14:paraId="7EC74A1B">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废物特性识别</w:t>
            </w:r>
            <w:r>
              <w:rPr>
                <w:rStyle w:val="32"/>
                <w:rFonts w:hint="eastAsia" w:ascii="宋体" w:hAnsi="宋体" w:cs="宋体"/>
                <w:b w:val="0"/>
                <w:kern w:val="0"/>
                <w:szCs w:val="21"/>
                <w:lang w:bidi="ar"/>
              </w:rPr>
              <w:t>、</w:t>
            </w:r>
            <w:r>
              <w:rPr>
                <w:rStyle w:val="32"/>
                <w:rFonts w:ascii="宋体" w:hAnsi="宋体" w:cs="宋体"/>
                <w:b w:val="0"/>
                <w:kern w:val="0"/>
                <w:szCs w:val="21"/>
                <w:lang w:bidi="ar"/>
              </w:rPr>
              <w:t>分类贮存</w:t>
            </w:r>
            <w:r>
              <w:rPr>
                <w:rStyle w:val="32"/>
                <w:rFonts w:hint="eastAsia" w:ascii="宋体" w:hAnsi="宋体" w:cs="宋体"/>
                <w:b w:val="0"/>
                <w:kern w:val="0"/>
                <w:szCs w:val="21"/>
                <w:lang w:bidi="ar"/>
              </w:rPr>
              <w:t>及</w:t>
            </w:r>
            <w:r>
              <w:rPr>
                <w:rFonts w:hint="eastAsia" w:asciiTheme="minorEastAsia" w:hAnsiTheme="minorEastAsia" w:eastAsiaTheme="minorEastAsia" w:cstheme="minorEastAsia"/>
                <w:color w:val="0F1115"/>
                <w:kern w:val="0"/>
                <w:szCs w:val="21"/>
                <w:lang w:bidi="ar"/>
              </w:rPr>
              <w:t>职业病危害</w:t>
            </w:r>
            <w:r>
              <w:rPr>
                <w:rStyle w:val="32"/>
                <w:rFonts w:ascii="宋体" w:hAnsi="宋体" w:cs="宋体"/>
                <w:b w:val="0"/>
                <w:kern w:val="0"/>
                <w:szCs w:val="21"/>
                <w:lang w:bidi="ar"/>
              </w:rPr>
              <w:t>培训记录</w:t>
            </w:r>
          </w:p>
        </w:tc>
        <w:tc>
          <w:tcPr>
            <w:tcW w:w="3327" w:type="dxa"/>
            <w:shd w:val="clear" w:color="auto" w:fill="auto"/>
            <w:tcMar>
              <w:top w:w="150" w:type="dxa"/>
              <w:left w:w="240" w:type="dxa"/>
              <w:bottom w:w="150" w:type="dxa"/>
              <w:right w:w="240" w:type="dxa"/>
            </w:tcMar>
            <w:vAlign w:val="center"/>
          </w:tcPr>
          <w:p w14:paraId="5EFDA990">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□已获得并查看 □未获得</w:t>
            </w:r>
            <w:r>
              <w:rPr>
                <w:rStyle w:val="32"/>
                <w:rFonts w:ascii="宋体" w:hAnsi="宋体" w:cs="宋体"/>
                <w:b w:val="0"/>
                <w:kern w:val="0"/>
                <w:szCs w:val="21"/>
                <w:lang w:bidi="ar"/>
              </w:rPr>
              <w:br w:type="textWrapping"/>
            </w:r>
            <w:r>
              <w:rPr>
                <w:rStyle w:val="32"/>
                <w:rFonts w:ascii="宋体" w:hAnsi="宋体" w:cs="宋体"/>
                <w:b w:val="0"/>
                <w:kern w:val="0"/>
                <w:szCs w:val="21"/>
                <w:lang w:bidi="ar"/>
              </w:rPr>
              <w:t>培训内容：________________</w:t>
            </w:r>
          </w:p>
        </w:tc>
        <w:tc>
          <w:tcPr>
            <w:tcW w:w="1511" w:type="dxa"/>
            <w:shd w:val="clear" w:color="auto" w:fill="auto"/>
            <w:tcMar>
              <w:top w:w="150" w:type="dxa"/>
              <w:left w:w="240" w:type="dxa"/>
              <w:bottom w:w="150" w:type="dxa"/>
              <w:right w:w="0" w:type="dxa"/>
            </w:tcMar>
            <w:vAlign w:val="center"/>
          </w:tcPr>
          <w:p w14:paraId="086877BA">
            <w:pPr>
              <w:widowControl/>
              <w:spacing w:line="375" w:lineRule="atLeast"/>
              <w:ind w:firstLine="0" w:firstLineChars="0"/>
              <w:jc w:val="left"/>
              <w:rPr>
                <w:rStyle w:val="32"/>
                <w:rFonts w:ascii="宋体" w:hAnsi="宋体" w:cs="宋体"/>
                <w:b w:val="0"/>
                <w:kern w:val="0"/>
                <w:szCs w:val="21"/>
                <w:lang w:bidi="ar"/>
              </w:rPr>
            </w:pPr>
          </w:p>
        </w:tc>
      </w:tr>
      <w:tr w14:paraId="466B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14" w:type="dxa"/>
            <w:vMerge w:val="restart"/>
            <w:shd w:val="clear" w:color="auto" w:fill="auto"/>
            <w:tcMar>
              <w:top w:w="150" w:type="dxa"/>
              <w:left w:w="0" w:type="dxa"/>
              <w:bottom w:w="150" w:type="dxa"/>
              <w:right w:w="240" w:type="dxa"/>
            </w:tcMar>
            <w:vAlign w:val="center"/>
          </w:tcPr>
          <w:p w14:paraId="11FB0DDC">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废物与设施</w:t>
            </w:r>
          </w:p>
        </w:tc>
        <w:tc>
          <w:tcPr>
            <w:tcW w:w="2700" w:type="dxa"/>
            <w:shd w:val="clear" w:color="auto" w:fill="auto"/>
            <w:tcMar>
              <w:top w:w="150" w:type="dxa"/>
              <w:left w:w="240" w:type="dxa"/>
              <w:bottom w:w="150" w:type="dxa"/>
              <w:right w:w="240" w:type="dxa"/>
            </w:tcMar>
            <w:vAlign w:val="center"/>
          </w:tcPr>
          <w:p w14:paraId="62B9CA31">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危险废物名称、类别、危险特性、产生量及贮存量</w:t>
            </w:r>
          </w:p>
        </w:tc>
        <w:tc>
          <w:tcPr>
            <w:tcW w:w="3327" w:type="dxa"/>
            <w:shd w:val="clear" w:color="auto" w:fill="auto"/>
            <w:tcMar>
              <w:top w:w="150" w:type="dxa"/>
              <w:left w:w="240" w:type="dxa"/>
              <w:bottom w:w="150" w:type="dxa"/>
              <w:right w:w="240" w:type="dxa"/>
            </w:tcMar>
            <w:vAlign w:val="center"/>
          </w:tcPr>
          <w:p w14:paraId="78187108">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名称：________ </w:t>
            </w:r>
          </w:p>
          <w:p w14:paraId="362420F2">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类别（HW代码）：________</w:t>
            </w:r>
            <w:r>
              <w:rPr>
                <w:rStyle w:val="32"/>
                <w:rFonts w:ascii="宋体" w:hAnsi="宋体" w:cs="宋体"/>
                <w:b w:val="0"/>
                <w:kern w:val="0"/>
                <w:szCs w:val="21"/>
                <w:lang w:bidi="ar"/>
              </w:rPr>
              <w:br w:type="textWrapping"/>
            </w:r>
            <w:r>
              <w:rPr>
                <w:rStyle w:val="32"/>
                <w:rFonts w:ascii="宋体" w:hAnsi="宋体" w:cs="宋体"/>
                <w:b w:val="0"/>
                <w:kern w:val="0"/>
                <w:szCs w:val="21"/>
                <w:lang w:bidi="ar"/>
              </w:rPr>
              <w:t>危险特性：________ </w:t>
            </w:r>
          </w:p>
          <w:p w14:paraId="0C73E229">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贮存量（吨）：________</w:t>
            </w:r>
          </w:p>
        </w:tc>
        <w:tc>
          <w:tcPr>
            <w:tcW w:w="1511" w:type="dxa"/>
            <w:shd w:val="clear" w:color="auto" w:fill="auto"/>
            <w:tcMar>
              <w:top w:w="150" w:type="dxa"/>
              <w:left w:w="240" w:type="dxa"/>
              <w:bottom w:w="150" w:type="dxa"/>
              <w:right w:w="0" w:type="dxa"/>
            </w:tcMar>
            <w:vAlign w:val="center"/>
          </w:tcPr>
          <w:p w14:paraId="0CCCC8F1">
            <w:pPr>
              <w:widowControl/>
              <w:spacing w:line="375" w:lineRule="atLeast"/>
              <w:ind w:firstLine="0" w:firstLineChars="0"/>
              <w:jc w:val="left"/>
              <w:rPr>
                <w:rStyle w:val="32"/>
                <w:rFonts w:ascii="宋体" w:hAnsi="宋体" w:cs="宋体"/>
                <w:b w:val="0"/>
                <w:kern w:val="0"/>
                <w:szCs w:val="21"/>
                <w:lang w:bidi="ar"/>
              </w:rPr>
            </w:pPr>
          </w:p>
        </w:tc>
      </w:tr>
      <w:tr w14:paraId="2684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14" w:type="dxa"/>
            <w:vMerge w:val="continue"/>
            <w:shd w:val="clear" w:color="auto" w:fill="auto"/>
            <w:tcMar>
              <w:top w:w="150" w:type="dxa"/>
              <w:left w:w="0" w:type="dxa"/>
              <w:bottom w:w="150" w:type="dxa"/>
              <w:right w:w="240" w:type="dxa"/>
            </w:tcMar>
            <w:vAlign w:val="center"/>
          </w:tcPr>
          <w:p w14:paraId="59F7927B">
            <w:pPr>
              <w:widowControl/>
              <w:spacing w:line="375" w:lineRule="atLeast"/>
              <w:ind w:firstLine="0" w:firstLineChars="0"/>
              <w:jc w:val="left"/>
              <w:rPr>
                <w:rStyle w:val="32"/>
                <w:rFonts w:ascii="宋体" w:hAnsi="宋体" w:cs="宋体"/>
                <w:bCs/>
                <w:kern w:val="0"/>
                <w:szCs w:val="21"/>
                <w:lang w:bidi="ar"/>
              </w:rPr>
            </w:pPr>
          </w:p>
        </w:tc>
        <w:tc>
          <w:tcPr>
            <w:tcW w:w="2700" w:type="dxa"/>
            <w:shd w:val="clear" w:color="auto" w:fill="auto"/>
            <w:tcMar>
              <w:top w:w="150" w:type="dxa"/>
              <w:left w:w="240" w:type="dxa"/>
              <w:bottom w:w="150" w:type="dxa"/>
              <w:right w:w="240" w:type="dxa"/>
            </w:tcMar>
            <w:vAlign w:val="center"/>
          </w:tcPr>
          <w:p w14:paraId="42A55361">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一般工业固体废物名称、类别、产生量及贮存量</w:t>
            </w:r>
          </w:p>
        </w:tc>
        <w:tc>
          <w:tcPr>
            <w:tcW w:w="3327" w:type="dxa"/>
            <w:shd w:val="clear" w:color="auto" w:fill="auto"/>
            <w:tcMar>
              <w:top w:w="150" w:type="dxa"/>
              <w:left w:w="240" w:type="dxa"/>
              <w:bottom w:w="150" w:type="dxa"/>
              <w:right w:w="240" w:type="dxa"/>
            </w:tcMar>
            <w:vAlign w:val="center"/>
          </w:tcPr>
          <w:p w14:paraId="652AED4C">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名称：________ 类别：</w:t>
            </w:r>
            <w:r>
              <w:rPr>
                <w:rStyle w:val="32"/>
                <w:rFonts w:ascii="宋体" w:hAnsi="宋体" w:cs="宋体"/>
                <w:b w:val="0"/>
                <w:kern w:val="0"/>
                <w:szCs w:val="21"/>
                <w:lang w:bidi="ar"/>
              </w:rPr>
              <w:br w:type="textWrapping"/>
            </w:r>
            <w:r>
              <w:rPr>
                <w:rStyle w:val="32"/>
                <w:rFonts w:ascii="宋体" w:hAnsi="宋体" w:cs="宋体"/>
                <w:b w:val="0"/>
                <w:kern w:val="0"/>
                <w:szCs w:val="21"/>
                <w:lang w:bidi="ar"/>
              </w:rPr>
              <w:t>贮存量（吨）：</w:t>
            </w:r>
          </w:p>
        </w:tc>
        <w:tc>
          <w:tcPr>
            <w:tcW w:w="1511" w:type="dxa"/>
            <w:shd w:val="clear" w:color="auto" w:fill="auto"/>
            <w:tcMar>
              <w:top w:w="150" w:type="dxa"/>
              <w:left w:w="240" w:type="dxa"/>
              <w:bottom w:w="150" w:type="dxa"/>
              <w:right w:w="0" w:type="dxa"/>
            </w:tcMar>
            <w:vAlign w:val="center"/>
          </w:tcPr>
          <w:p w14:paraId="1B240A9F">
            <w:pPr>
              <w:widowControl/>
              <w:spacing w:line="375" w:lineRule="atLeast"/>
              <w:ind w:firstLine="0" w:firstLineChars="0"/>
              <w:jc w:val="left"/>
              <w:rPr>
                <w:rStyle w:val="32"/>
                <w:rFonts w:ascii="宋体" w:hAnsi="宋体" w:cs="宋体"/>
                <w:b w:val="0"/>
                <w:kern w:val="0"/>
                <w:szCs w:val="21"/>
                <w:lang w:bidi="ar"/>
              </w:rPr>
            </w:pPr>
          </w:p>
        </w:tc>
      </w:tr>
      <w:tr w14:paraId="0DE4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14" w:type="dxa"/>
            <w:vMerge w:val="continue"/>
            <w:shd w:val="clear" w:color="auto" w:fill="auto"/>
            <w:tcMar>
              <w:top w:w="150" w:type="dxa"/>
              <w:left w:w="0" w:type="dxa"/>
              <w:bottom w:w="150" w:type="dxa"/>
              <w:right w:w="240" w:type="dxa"/>
            </w:tcMar>
            <w:vAlign w:val="center"/>
          </w:tcPr>
          <w:p w14:paraId="71B7614D">
            <w:pPr>
              <w:widowControl/>
              <w:spacing w:line="375" w:lineRule="atLeast"/>
              <w:ind w:firstLine="0" w:firstLineChars="0"/>
              <w:jc w:val="left"/>
              <w:rPr>
                <w:rStyle w:val="32"/>
                <w:rFonts w:ascii="宋体" w:hAnsi="宋体" w:cs="宋体"/>
                <w:bCs/>
                <w:kern w:val="0"/>
                <w:szCs w:val="21"/>
                <w:lang w:bidi="ar"/>
              </w:rPr>
            </w:pPr>
          </w:p>
        </w:tc>
        <w:tc>
          <w:tcPr>
            <w:tcW w:w="2700" w:type="dxa"/>
            <w:shd w:val="clear" w:color="auto" w:fill="auto"/>
            <w:tcMar>
              <w:top w:w="150" w:type="dxa"/>
              <w:left w:w="240" w:type="dxa"/>
              <w:bottom w:w="150" w:type="dxa"/>
              <w:right w:w="240" w:type="dxa"/>
            </w:tcMar>
            <w:vAlign w:val="center"/>
          </w:tcPr>
          <w:p w14:paraId="71EEDA5F">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贮存设施“三防”（防渗漏、防雨淋、防流失）措施完好性</w:t>
            </w:r>
          </w:p>
        </w:tc>
        <w:tc>
          <w:tcPr>
            <w:tcW w:w="3327" w:type="dxa"/>
            <w:shd w:val="clear" w:color="auto" w:fill="auto"/>
            <w:tcMar>
              <w:top w:w="150" w:type="dxa"/>
              <w:left w:w="240" w:type="dxa"/>
              <w:bottom w:w="150" w:type="dxa"/>
              <w:right w:w="240" w:type="dxa"/>
            </w:tcMar>
            <w:vAlign w:val="center"/>
          </w:tcPr>
          <w:p w14:paraId="37FE9C90">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 xml:space="preserve">□措施完好有效 </w:t>
            </w:r>
          </w:p>
          <w:p w14:paraId="5C4A599B">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□存在缺陷</w:t>
            </w:r>
            <w:r>
              <w:rPr>
                <w:rStyle w:val="32"/>
                <w:rFonts w:ascii="宋体" w:hAnsi="宋体" w:cs="宋体"/>
                <w:b w:val="0"/>
                <w:kern w:val="0"/>
                <w:szCs w:val="21"/>
                <w:lang w:bidi="ar"/>
              </w:rPr>
              <w:br w:type="textWrapping"/>
            </w:r>
            <w:r>
              <w:rPr>
                <w:rStyle w:val="32"/>
                <w:rFonts w:ascii="宋体" w:hAnsi="宋体" w:cs="宋体"/>
                <w:b w:val="0"/>
                <w:kern w:val="0"/>
                <w:szCs w:val="21"/>
                <w:lang w:bidi="ar"/>
              </w:rPr>
              <w:t>具体问题描述</w:t>
            </w:r>
            <w:r>
              <w:rPr>
                <w:rStyle w:val="32"/>
                <w:rFonts w:hint="eastAsia" w:ascii="宋体" w:hAnsi="宋体" w:cs="宋体"/>
                <w:b w:val="0"/>
                <w:kern w:val="0"/>
                <w:szCs w:val="21"/>
                <w:lang w:bidi="ar"/>
              </w:rPr>
              <w:t>：</w:t>
            </w:r>
            <w:r>
              <w:rPr>
                <w:rStyle w:val="32"/>
                <w:rFonts w:ascii="宋体" w:hAnsi="宋体" w:cs="宋体"/>
                <w:b w:val="0"/>
                <w:kern w:val="0"/>
                <w:szCs w:val="21"/>
                <w:lang w:bidi="ar"/>
              </w:rPr>
              <w:t>____________</w:t>
            </w:r>
          </w:p>
        </w:tc>
        <w:tc>
          <w:tcPr>
            <w:tcW w:w="1511" w:type="dxa"/>
            <w:shd w:val="clear" w:color="auto" w:fill="auto"/>
            <w:tcMar>
              <w:top w:w="150" w:type="dxa"/>
              <w:left w:w="240" w:type="dxa"/>
              <w:bottom w:w="150" w:type="dxa"/>
              <w:right w:w="0" w:type="dxa"/>
            </w:tcMar>
            <w:vAlign w:val="center"/>
          </w:tcPr>
          <w:p w14:paraId="3418687B">
            <w:pPr>
              <w:widowControl/>
              <w:spacing w:line="375" w:lineRule="atLeast"/>
              <w:ind w:firstLine="0" w:firstLineChars="0"/>
              <w:jc w:val="left"/>
              <w:rPr>
                <w:rStyle w:val="32"/>
                <w:rFonts w:ascii="宋体" w:hAnsi="宋体" w:cs="宋体"/>
                <w:b w:val="0"/>
                <w:kern w:val="0"/>
                <w:szCs w:val="21"/>
                <w:lang w:bidi="ar"/>
              </w:rPr>
            </w:pPr>
          </w:p>
        </w:tc>
      </w:tr>
      <w:tr w14:paraId="377F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14" w:type="dxa"/>
            <w:vMerge w:val="restart"/>
            <w:shd w:val="clear" w:color="auto" w:fill="auto"/>
            <w:tcMar>
              <w:top w:w="150" w:type="dxa"/>
              <w:left w:w="0" w:type="dxa"/>
              <w:bottom w:w="150" w:type="dxa"/>
              <w:right w:w="240" w:type="dxa"/>
            </w:tcMar>
            <w:vAlign w:val="center"/>
          </w:tcPr>
          <w:p w14:paraId="1F5D2F76">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运行与记录</w:t>
            </w:r>
          </w:p>
        </w:tc>
        <w:tc>
          <w:tcPr>
            <w:tcW w:w="2700" w:type="dxa"/>
            <w:shd w:val="clear" w:color="auto" w:fill="auto"/>
            <w:tcMar>
              <w:top w:w="150" w:type="dxa"/>
              <w:left w:w="240" w:type="dxa"/>
              <w:bottom w:w="150" w:type="dxa"/>
              <w:right w:w="240" w:type="dxa"/>
            </w:tcMar>
            <w:vAlign w:val="center"/>
          </w:tcPr>
          <w:p w14:paraId="1FD9C9AA">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废物包装、贮存设施及防护措施的日常巡检记录</w:t>
            </w:r>
          </w:p>
        </w:tc>
        <w:tc>
          <w:tcPr>
            <w:tcW w:w="3327" w:type="dxa"/>
            <w:shd w:val="clear" w:color="auto" w:fill="auto"/>
            <w:tcMar>
              <w:top w:w="150" w:type="dxa"/>
              <w:left w:w="240" w:type="dxa"/>
              <w:bottom w:w="150" w:type="dxa"/>
              <w:right w:w="240" w:type="dxa"/>
            </w:tcMar>
            <w:vAlign w:val="center"/>
          </w:tcPr>
          <w:p w14:paraId="61A4DB8B">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 xml:space="preserve">□记录完整 </w:t>
            </w:r>
          </w:p>
          <w:p w14:paraId="7CB4D33E">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□记录不全</w:t>
            </w:r>
          </w:p>
          <w:p w14:paraId="43AFF6D3">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□无记录</w:t>
            </w:r>
            <w:r>
              <w:rPr>
                <w:rStyle w:val="32"/>
                <w:rFonts w:ascii="宋体" w:hAnsi="宋体" w:cs="宋体"/>
                <w:b w:val="0"/>
                <w:kern w:val="0"/>
                <w:szCs w:val="21"/>
                <w:lang w:bidi="ar"/>
              </w:rPr>
              <w:br w:type="textWrapping"/>
            </w:r>
            <w:r>
              <w:rPr>
                <w:rStyle w:val="32"/>
                <w:rFonts w:ascii="宋体" w:hAnsi="宋体" w:cs="宋体"/>
                <w:b w:val="0"/>
                <w:kern w:val="0"/>
                <w:szCs w:val="21"/>
                <w:lang w:bidi="ar"/>
              </w:rPr>
              <w:t>检查周期：□每日 □每周 □其他：________</w:t>
            </w:r>
          </w:p>
        </w:tc>
        <w:tc>
          <w:tcPr>
            <w:tcW w:w="1511" w:type="dxa"/>
            <w:shd w:val="clear" w:color="auto" w:fill="auto"/>
            <w:tcMar>
              <w:top w:w="150" w:type="dxa"/>
              <w:left w:w="240" w:type="dxa"/>
              <w:bottom w:w="150" w:type="dxa"/>
              <w:right w:w="0" w:type="dxa"/>
            </w:tcMar>
            <w:vAlign w:val="center"/>
          </w:tcPr>
          <w:p w14:paraId="35C68527">
            <w:pPr>
              <w:widowControl/>
              <w:spacing w:line="375" w:lineRule="atLeast"/>
              <w:ind w:firstLine="0" w:firstLineChars="0"/>
              <w:jc w:val="left"/>
              <w:rPr>
                <w:rStyle w:val="32"/>
                <w:rFonts w:ascii="宋体" w:hAnsi="宋体" w:cs="宋体"/>
                <w:b w:val="0"/>
                <w:kern w:val="0"/>
                <w:szCs w:val="21"/>
                <w:lang w:bidi="ar"/>
              </w:rPr>
            </w:pPr>
          </w:p>
        </w:tc>
      </w:tr>
      <w:tr w14:paraId="76BF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14" w:type="dxa"/>
            <w:vMerge w:val="continue"/>
            <w:shd w:val="clear" w:color="auto" w:fill="auto"/>
            <w:tcMar>
              <w:top w:w="150" w:type="dxa"/>
              <w:left w:w="0" w:type="dxa"/>
              <w:bottom w:w="150" w:type="dxa"/>
              <w:right w:w="240" w:type="dxa"/>
            </w:tcMar>
            <w:vAlign w:val="center"/>
          </w:tcPr>
          <w:p w14:paraId="6F376717">
            <w:pPr>
              <w:widowControl/>
              <w:spacing w:line="375" w:lineRule="atLeast"/>
              <w:ind w:firstLine="0" w:firstLineChars="0"/>
              <w:jc w:val="left"/>
              <w:rPr>
                <w:rStyle w:val="32"/>
                <w:rFonts w:ascii="宋体" w:hAnsi="宋体" w:cs="宋体"/>
                <w:bCs/>
                <w:kern w:val="0"/>
                <w:szCs w:val="21"/>
                <w:lang w:bidi="ar"/>
              </w:rPr>
            </w:pPr>
          </w:p>
        </w:tc>
        <w:tc>
          <w:tcPr>
            <w:tcW w:w="2700" w:type="dxa"/>
            <w:shd w:val="clear" w:color="auto" w:fill="auto"/>
            <w:tcMar>
              <w:top w:w="150" w:type="dxa"/>
              <w:left w:w="240" w:type="dxa"/>
              <w:bottom w:w="150" w:type="dxa"/>
              <w:right w:w="240" w:type="dxa"/>
            </w:tcMar>
            <w:vAlign w:val="center"/>
          </w:tcPr>
          <w:p w14:paraId="08F438D0">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固体废物管理台账</w:t>
            </w:r>
          </w:p>
        </w:tc>
        <w:tc>
          <w:tcPr>
            <w:tcW w:w="3327" w:type="dxa"/>
            <w:shd w:val="clear" w:color="auto" w:fill="auto"/>
            <w:tcMar>
              <w:top w:w="150" w:type="dxa"/>
              <w:left w:w="240" w:type="dxa"/>
              <w:bottom w:w="150" w:type="dxa"/>
              <w:right w:w="240" w:type="dxa"/>
            </w:tcMar>
            <w:vAlign w:val="center"/>
          </w:tcPr>
          <w:p w14:paraId="42E84081">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 xml:space="preserve">□记录完整 </w:t>
            </w:r>
          </w:p>
          <w:p w14:paraId="4520CC9E">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□记录不全</w:t>
            </w:r>
          </w:p>
          <w:p w14:paraId="6F3830F7">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□无台账</w:t>
            </w:r>
          </w:p>
        </w:tc>
        <w:tc>
          <w:tcPr>
            <w:tcW w:w="1511" w:type="dxa"/>
            <w:shd w:val="clear" w:color="auto" w:fill="auto"/>
            <w:tcMar>
              <w:top w:w="150" w:type="dxa"/>
              <w:left w:w="240" w:type="dxa"/>
              <w:bottom w:w="150" w:type="dxa"/>
              <w:right w:w="0" w:type="dxa"/>
            </w:tcMar>
            <w:vAlign w:val="center"/>
          </w:tcPr>
          <w:p w14:paraId="0AFD35F3">
            <w:pPr>
              <w:widowControl/>
              <w:spacing w:line="375" w:lineRule="atLeast"/>
              <w:ind w:firstLine="0" w:firstLineChars="0"/>
              <w:jc w:val="left"/>
              <w:rPr>
                <w:rStyle w:val="32"/>
                <w:rFonts w:ascii="宋体" w:hAnsi="宋体" w:cs="宋体"/>
                <w:b w:val="0"/>
                <w:kern w:val="0"/>
                <w:szCs w:val="21"/>
                <w:lang w:bidi="ar"/>
              </w:rPr>
            </w:pPr>
          </w:p>
        </w:tc>
      </w:tr>
      <w:tr w14:paraId="6FB7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14" w:type="dxa"/>
            <w:vMerge w:val="continue"/>
            <w:shd w:val="clear" w:color="auto" w:fill="auto"/>
            <w:tcMar>
              <w:top w:w="150" w:type="dxa"/>
              <w:left w:w="0" w:type="dxa"/>
              <w:bottom w:w="150" w:type="dxa"/>
              <w:right w:w="240" w:type="dxa"/>
            </w:tcMar>
            <w:vAlign w:val="center"/>
          </w:tcPr>
          <w:p w14:paraId="71C59F4D">
            <w:pPr>
              <w:widowControl/>
              <w:spacing w:line="375" w:lineRule="atLeast"/>
              <w:ind w:firstLine="0" w:firstLineChars="0"/>
              <w:jc w:val="left"/>
              <w:rPr>
                <w:rStyle w:val="32"/>
                <w:rFonts w:ascii="宋体" w:hAnsi="宋体" w:cs="宋体"/>
                <w:bCs/>
                <w:kern w:val="0"/>
                <w:szCs w:val="21"/>
                <w:lang w:bidi="ar"/>
              </w:rPr>
            </w:pPr>
          </w:p>
        </w:tc>
        <w:tc>
          <w:tcPr>
            <w:tcW w:w="2700" w:type="dxa"/>
            <w:shd w:val="clear" w:color="auto" w:fill="auto"/>
            <w:tcMar>
              <w:top w:w="150" w:type="dxa"/>
              <w:left w:w="240" w:type="dxa"/>
              <w:bottom w:w="150" w:type="dxa"/>
              <w:right w:w="240" w:type="dxa"/>
            </w:tcMar>
            <w:vAlign w:val="center"/>
          </w:tcPr>
          <w:p w14:paraId="22A207FB">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危险废物转移联单</w:t>
            </w:r>
          </w:p>
        </w:tc>
        <w:tc>
          <w:tcPr>
            <w:tcW w:w="3327" w:type="dxa"/>
            <w:shd w:val="clear" w:color="auto" w:fill="auto"/>
            <w:tcMar>
              <w:top w:w="150" w:type="dxa"/>
              <w:left w:w="240" w:type="dxa"/>
              <w:bottom w:w="150" w:type="dxa"/>
              <w:right w:w="240" w:type="dxa"/>
            </w:tcMar>
            <w:vAlign w:val="center"/>
          </w:tcPr>
          <w:p w14:paraId="0569F4C8">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 xml:space="preserve">□保存齐全 </w:t>
            </w:r>
            <w:r>
              <w:rPr>
                <w:rStyle w:val="32"/>
                <w:rFonts w:hint="eastAsia" w:ascii="宋体" w:hAnsi="宋体" w:cs="宋体"/>
                <w:b w:val="0"/>
                <w:kern w:val="0"/>
                <w:szCs w:val="21"/>
                <w:lang w:bidi="ar"/>
              </w:rPr>
              <w:t>□</w:t>
            </w:r>
            <w:r>
              <w:rPr>
                <w:rStyle w:val="32"/>
                <w:rFonts w:ascii="宋体" w:hAnsi="宋体" w:cs="宋体"/>
                <w:b w:val="0"/>
                <w:kern w:val="0"/>
                <w:szCs w:val="21"/>
                <w:lang w:bidi="ar"/>
              </w:rPr>
              <w:t xml:space="preserve"> 缺失 □ 未转移</w:t>
            </w:r>
          </w:p>
        </w:tc>
        <w:tc>
          <w:tcPr>
            <w:tcW w:w="1511" w:type="dxa"/>
            <w:shd w:val="clear" w:color="auto" w:fill="auto"/>
            <w:tcMar>
              <w:top w:w="150" w:type="dxa"/>
              <w:left w:w="240" w:type="dxa"/>
              <w:bottom w:w="150" w:type="dxa"/>
              <w:right w:w="0" w:type="dxa"/>
            </w:tcMar>
            <w:vAlign w:val="center"/>
          </w:tcPr>
          <w:p w14:paraId="47002BF2">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最近转移日期： _______</w:t>
            </w:r>
          </w:p>
        </w:tc>
      </w:tr>
    </w:tbl>
    <w:p w14:paraId="43BCC469">
      <w:pPr>
        <w:pStyle w:val="2"/>
        <w:spacing w:line="240" w:lineRule="auto"/>
        <w:jc w:val="center"/>
        <w:rPr>
          <w:color w:val="000000" w:themeColor="text1"/>
          <w:szCs w:val="21"/>
          <w14:textFill>
            <w14:solidFill>
              <w14:schemeClr w14:val="tx1"/>
            </w14:solidFill>
          </w14:textFill>
        </w:rPr>
      </w:pPr>
      <w:bookmarkStart w:id="28" w:name="_Toc15451"/>
      <w:r>
        <w:rPr>
          <w:rFonts w:hint="eastAsia"/>
          <w:color w:val="000000" w:themeColor="text1"/>
          <w:szCs w:val="21"/>
          <w14:textFill>
            <w14:solidFill>
              <w14:schemeClr w14:val="tx1"/>
            </w14:solidFill>
          </w14:textFill>
        </w:rPr>
        <w:t>附录E</w:t>
      </w:r>
      <w:bookmarkEnd w:id="28"/>
      <w:bookmarkStart w:id="29" w:name="_Toc32203"/>
      <w:r>
        <w:rPr>
          <w:rFonts w:hint="eastAsia"/>
          <w:color w:val="000000" w:themeColor="text1"/>
          <w:szCs w:val="21"/>
          <w14:textFill>
            <w14:solidFill>
              <w14:schemeClr w14:val="tx1"/>
            </w14:solidFill>
          </w14:textFill>
        </w:rPr>
        <w:t>（资料性）</w:t>
      </w:r>
      <w:bookmarkEnd w:id="29"/>
      <w:r>
        <w:rPr>
          <w:rFonts w:hint="eastAsia"/>
          <w:color w:val="000000" w:themeColor="text1"/>
          <w:szCs w:val="21"/>
          <w14:textFill>
            <w14:solidFill>
              <w14:schemeClr w14:val="tx1"/>
            </w14:solidFill>
          </w14:textFill>
        </w:rPr>
        <w:t>其他活动区信息收集表</w:t>
      </w:r>
    </w:p>
    <w:p w14:paraId="64B68087">
      <w:r>
        <w:rPr>
          <w:rFonts w:hint="eastAsia"/>
        </w:rPr>
        <w:t>其他活动区信息收集表见表E.1</w:t>
      </w:r>
    </w:p>
    <w:p w14:paraId="23AF2B6A">
      <w:pPr>
        <w:pStyle w:val="9"/>
        <w:ind w:firstLine="0" w:firstLineChars="0"/>
        <w:jc w:val="center"/>
        <w:rPr>
          <w:rFonts w:ascii="黑体" w:hAnsi="黑体" w:cs="黑体"/>
          <w:sz w:val="21"/>
        </w:rPr>
      </w:pPr>
      <w:r>
        <w:rPr>
          <w:rFonts w:hint="eastAsia" w:ascii="黑体" w:hAnsi="黑体" w:cs="黑体"/>
          <w:sz w:val="21"/>
        </w:rPr>
        <w:t>表E.1其他活动区信息收集表</w:t>
      </w:r>
    </w:p>
    <w:tbl>
      <w:tblPr>
        <w:tblStyle w:val="29"/>
        <w:tblW w:w="0" w:type="auto"/>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381"/>
        <w:gridCol w:w="2643"/>
        <w:gridCol w:w="3326"/>
        <w:gridCol w:w="1292"/>
      </w:tblGrid>
      <w:tr w14:paraId="6EA2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1381" w:type="dxa"/>
            <w:shd w:val="clear" w:color="auto" w:fill="FFFFFF"/>
            <w:tcMar>
              <w:top w:w="150" w:type="dxa"/>
              <w:left w:w="0" w:type="dxa"/>
              <w:bottom w:w="150" w:type="dxa"/>
              <w:right w:w="240" w:type="dxa"/>
            </w:tcMar>
            <w:vAlign w:val="center"/>
          </w:tcPr>
          <w:p w14:paraId="4EA56747">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大类</w:t>
            </w:r>
          </w:p>
        </w:tc>
        <w:tc>
          <w:tcPr>
            <w:tcW w:w="2643" w:type="dxa"/>
            <w:shd w:val="clear" w:color="auto" w:fill="FFFFFF"/>
            <w:tcMar>
              <w:top w:w="150" w:type="dxa"/>
              <w:left w:w="240" w:type="dxa"/>
              <w:bottom w:w="150" w:type="dxa"/>
              <w:right w:w="240" w:type="dxa"/>
            </w:tcMar>
            <w:vAlign w:val="center"/>
          </w:tcPr>
          <w:p w14:paraId="105FE754">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采集信息项</w:t>
            </w:r>
          </w:p>
        </w:tc>
        <w:tc>
          <w:tcPr>
            <w:tcW w:w="3326" w:type="dxa"/>
            <w:shd w:val="clear" w:color="auto" w:fill="FFFFFF"/>
            <w:tcMar>
              <w:top w:w="150" w:type="dxa"/>
              <w:left w:w="240" w:type="dxa"/>
              <w:bottom w:w="150" w:type="dxa"/>
              <w:right w:w="240" w:type="dxa"/>
            </w:tcMar>
            <w:vAlign w:val="center"/>
          </w:tcPr>
          <w:p w14:paraId="1BDCA588">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信息记录/结果</w:t>
            </w:r>
          </w:p>
        </w:tc>
        <w:tc>
          <w:tcPr>
            <w:tcW w:w="1292" w:type="dxa"/>
            <w:shd w:val="clear" w:color="auto" w:fill="FFFFFF"/>
            <w:tcMar>
              <w:top w:w="150" w:type="dxa"/>
              <w:left w:w="240" w:type="dxa"/>
              <w:bottom w:w="150" w:type="dxa"/>
              <w:right w:w="240" w:type="dxa"/>
            </w:tcMar>
            <w:vAlign w:val="center"/>
          </w:tcPr>
          <w:p w14:paraId="05BE5404">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检查情况/备注</w:t>
            </w:r>
          </w:p>
        </w:tc>
      </w:tr>
      <w:tr w14:paraId="1C71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381" w:type="dxa"/>
            <w:shd w:val="clear" w:color="auto" w:fill="FFFFFF"/>
            <w:tcMar>
              <w:top w:w="150" w:type="dxa"/>
              <w:left w:w="0" w:type="dxa"/>
              <w:bottom w:w="150" w:type="dxa"/>
              <w:right w:w="240" w:type="dxa"/>
            </w:tcMar>
            <w:vAlign w:val="center"/>
          </w:tcPr>
          <w:p w14:paraId="53022804">
            <w:pPr>
              <w:widowControl/>
              <w:spacing w:line="375" w:lineRule="atLeast"/>
              <w:ind w:firstLine="0" w:firstLineChars="0"/>
              <w:jc w:val="left"/>
              <w:rPr>
                <w:rStyle w:val="32"/>
                <w:rFonts w:ascii="宋体" w:hAnsi="宋体" w:cs="宋体"/>
                <w:bCs/>
                <w:kern w:val="0"/>
                <w:szCs w:val="21"/>
                <w:lang w:bidi="ar"/>
              </w:rPr>
            </w:pPr>
            <w:r>
              <w:rPr>
                <w:rStyle w:val="32"/>
                <w:rFonts w:hint="eastAsia" w:ascii="宋体" w:hAnsi="宋体" w:cs="宋体"/>
                <w:bCs/>
                <w:kern w:val="0"/>
                <w:szCs w:val="21"/>
                <w:lang w:bidi="ar"/>
              </w:rPr>
              <w:t>人员信息</w:t>
            </w:r>
          </w:p>
        </w:tc>
        <w:tc>
          <w:tcPr>
            <w:tcW w:w="2643" w:type="dxa"/>
            <w:shd w:val="clear" w:color="auto" w:fill="FFFFFF"/>
            <w:tcMar>
              <w:top w:w="150" w:type="dxa"/>
              <w:left w:w="240" w:type="dxa"/>
              <w:bottom w:w="150" w:type="dxa"/>
              <w:right w:w="240" w:type="dxa"/>
            </w:tcMar>
            <w:vAlign w:val="center"/>
          </w:tcPr>
          <w:p w14:paraId="362D8BED">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化学品管理</w:t>
            </w:r>
            <w:r>
              <w:rPr>
                <w:rStyle w:val="32"/>
                <w:rFonts w:hint="eastAsia" w:ascii="宋体" w:hAnsi="宋体" w:cs="宋体"/>
                <w:b w:val="0"/>
                <w:kern w:val="0"/>
                <w:szCs w:val="21"/>
                <w:lang w:bidi="ar"/>
              </w:rPr>
              <w:t>、</w:t>
            </w:r>
            <w:r>
              <w:rPr>
                <w:rStyle w:val="32"/>
                <w:rFonts w:ascii="宋体" w:hAnsi="宋体" w:cs="宋体"/>
                <w:b w:val="0"/>
                <w:kern w:val="0"/>
                <w:szCs w:val="21"/>
                <w:lang w:bidi="ar"/>
              </w:rPr>
              <w:t>安全操作</w:t>
            </w:r>
            <w:r>
              <w:rPr>
                <w:rStyle w:val="32"/>
                <w:rFonts w:hint="eastAsia" w:ascii="宋体" w:hAnsi="宋体" w:cs="宋体"/>
                <w:b w:val="0"/>
                <w:kern w:val="0"/>
                <w:szCs w:val="21"/>
                <w:lang w:bidi="ar"/>
              </w:rPr>
              <w:t>及</w:t>
            </w:r>
            <w:r>
              <w:rPr>
                <w:rFonts w:hint="eastAsia" w:asciiTheme="minorEastAsia" w:hAnsiTheme="minorEastAsia" w:eastAsiaTheme="minorEastAsia" w:cstheme="minorEastAsia"/>
                <w:color w:val="0F1115"/>
                <w:kern w:val="0"/>
                <w:szCs w:val="21"/>
                <w:lang w:bidi="ar"/>
              </w:rPr>
              <w:t>职业病危害</w:t>
            </w:r>
            <w:r>
              <w:rPr>
                <w:rStyle w:val="32"/>
                <w:rFonts w:ascii="宋体" w:hAnsi="宋体" w:cs="宋体"/>
                <w:b w:val="0"/>
                <w:kern w:val="0"/>
                <w:szCs w:val="21"/>
                <w:lang w:bidi="ar"/>
              </w:rPr>
              <w:t>培训记录</w:t>
            </w:r>
          </w:p>
        </w:tc>
        <w:tc>
          <w:tcPr>
            <w:tcW w:w="3326" w:type="dxa"/>
            <w:shd w:val="clear" w:color="auto" w:fill="FFFFFF"/>
            <w:tcMar>
              <w:top w:w="150" w:type="dxa"/>
              <w:left w:w="240" w:type="dxa"/>
              <w:bottom w:w="150" w:type="dxa"/>
              <w:right w:w="240" w:type="dxa"/>
            </w:tcMar>
            <w:vAlign w:val="center"/>
          </w:tcPr>
          <w:p w14:paraId="22B1078A">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 已获得并查看 □ 未获得</w:t>
            </w:r>
            <w:r>
              <w:rPr>
                <w:rStyle w:val="32"/>
                <w:rFonts w:ascii="宋体" w:hAnsi="宋体" w:cs="宋体"/>
                <w:b w:val="0"/>
                <w:kern w:val="0"/>
                <w:szCs w:val="21"/>
                <w:lang w:bidi="ar"/>
              </w:rPr>
              <w:br w:type="textWrapping"/>
            </w:r>
            <w:r>
              <w:rPr>
                <w:rStyle w:val="32"/>
                <w:rFonts w:ascii="宋体" w:hAnsi="宋体" w:cs="宋体"/>
                <w:b w:val="0"/>
                <w:kern w:val="0"/>
                <w:szCs w:val="21"/>
                <w:lang w:bidi="ar"/>
              </w:rPr>
              <w:t>培训内容：________________</w:t>
            </w:r>
          </w:p>
        </w:tc>
        <w:tc>
          <w:tcPr>
            <w:tcW w:w="1292" w:type="dxa"/>
            <w:shd w:val="clear" w:color="auto" w:fill="FFFFFF"/>
            <w:tcMar>
              <w:top w:w="150" w:type="dxa"/>
              <w:left w:w="240" w:type="dxa"/>
              <w:bottom w:w="150" w:type="dxa"/>
              <w:right w:w="0" w:type="dxa"/>
            </w:tcMar>
            <w:vAlign w:val="center"/>
          </w:tcPr>
          <w:p w14:paraId="16EB0965">
            <w:pPr>
              <w:widowControl/>
              <w:spacing w:line="375" w:lineRule="atLeast"/>
              <w:ind w:firstLine="0" w:firstLineChars="0"/>
              <w:jc w:val="left"/>
              <w:rPr>
                <w:rStyle w:val="32"/>
                <w:rFonts w:ascii="宋体" w:hAnsi="宋体" w:cs="宋体"/>
                <w:b w:val="0"/>
                <w:kern w:val="0"/>
                <w:szCs w:val="21"/>
                <w:lang w:bidi="ar"/>
              </w:rPr>
            </w:pPr>
          </w:p>
        </w:tc>
      </w:tr>
      <w:tr w14:paraId="7435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381" w:type="dxa"/>
            <w:vMerge w:val="restart"/>
            <w:shd w:val="clear" w:color="auto" w:fill="FFFFFF"/>
            <w:tcMar>
              <w:top w:w="150" w:type="dxa"/>
              <w:left w:w="0" w:type="dxa"/>
              <w:bottom w:w="150" w:type="dxa"/>
              <w:right w:w="240" w:type="dxa"/>
            </w:tcMar>
            <w:vAlign w:val="center"/>
          </w:tcPr>
          <w:p w14:paraId="247FA74B">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物料与设施</w:t>
            </w:r>
          </w:p>
        </w:tc>
        <w:tc>
          <w:tcPr>
            <w:tcW w:w="2643" w:type="dxa"/>
            <w:shd w:val="clear" w:color="auto" w:fill="FFFFFF"/>
            <w:tcMar>
              <w:top w:w="150" w:type="dxa"/>
              <w:left w:w="240" w:type="dxa"/>
              <w:bottom w:w="150" w:type="dxa"/>
              <w:right w:w="240" w:type="dxa"/>
            </w:tcMar>
            <w:vAlign w:val="center"/>
          </w:tcPr>
          <w:p w14:paraId="740E0146">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使用的化学品、试剂、油品及溶剂清单</w:t>
            </w:r>
          </w:p>
        </w:tc>
        <w:tc>
          <w:tcPr>
            <w:tcW w:w="3326" w:type="dxa"/>
            <w:shd w:val="clear" w:color="auto" w:fill="FFFFFF"/>
            <w:tcMar>
              <w:top w:w="150" w:type="dxa"/>
              <w:left w:w="240" w:type="dxa"/>
              <w:bottom w:w="150" w:type="dxa"/>
              <w:right w:w="240" w:type="dxa"/>
            </w:tcMar>
            <w:vAlign w:val="center"/>
          </w:tcPr>
          <w:p w14:paraId="2129C120">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 xml:space="preserve">□清单齐全、更新及时 </w:t>
            </w:r>
          </w:p>
          <w:p w14:paraId="413131A7">
            <w:pPr>
              <w:widowControl/>
              <w:spacing w:line="375" w:lineRule="atLeast"/>
              <w:ind w:firstLine="0" w:firstLineChars="0"/>
              <w:jc w:val="left"/>
              <w:rPr>
                <w:rStyle w:val="32"/>
                <w:rFonts w:ascii="宋体" w:hAnsi="宋体" w:cs="宋体"/>
                <w:b w:val="0"/>
                <w:kern w:val="0"/>
                <w:szCs w:val="21"/>
                <w:lang w:bidi="ar"/>
              </w:rPr>
            </w:pPr>
            <w:r>
              <w:rPr>
                <w:rStyle w:val="32"/>
                <w:rFonts w:hint="eastAsia" w:ascii="宋体" w:hAnsi="宋体" w:cs="宋体"/>
                <w:b w:val="0"/>
                <w:kern w:val="0"/>
                <w:szCs w:val="21"/>
                <w:lang w:bidi="ar"/>
              </w:rPr>
              <w:t>□</w:t>
            </w:r>
            <w:r>
              <w:rPr>
                <w:rStyle w:val="32"/>
                <w:rFonts w:ascii="宋体" w:hAnsi="宋体" w:cs="宋体"/>
                <w:b w:val="0"/>
                <w:kern w:val="0"/>
                <w:szCs w:val="21"/>
                <w:lang w:bidi="ar"/>
              </w:rPr>
              <w:t xml:space="preserve">清单不全 </w:t>
            </w:r>
          </w:p>
          <w:p w14:paraId="32655AF8">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□无清单</w:t>
            </w:r>
          </w:p>
        </w:tc>
        <w:tc>
          <w:tcPr>
            <w:tcW w:w="1292" w:type="dxa"/>
            <w:shd w:val="clear" w:color="auto" w:fill="FFFFFF"/>
            <w:tcMar>
              <w:top w:w="150" w:type="dxa"/>
              <w:left w:w="240" w:type="dxa"/>
              <w:bottom w:w="150" w:type="dxa"/>
              <w:right w:w="0" w:type="dxa"/>
            </w:tcMar>
            <w:vAlign w:val="center"/>
          </w:tcPr>
          <w:p w14:paraId="4CE320FE">
            <w:pPr>
              <w:widowControl/>
              <w:spacing w:line="375" w:lineRule="atLeast"/>
              <w:ind w:firstLine="0" w:firstLineChars="0"/>
              <w:jc w:val="left"/>
              <w:rPr>
                <w:rStyle w:val="32"/>
                <w:rFonts w:ascii="宋体" w:hAnsi="宋体" w:cs="宋体"/>
                <w:b w:val="0"/>
                <w:kern w:val="0"/>
                <w:szCs w:val="21"/>
                <w:lang w:bidi="ar"/>
              </w:rPr>
            </w:pPr>
          </w:p>
        </w:tc>
      </w:tr>
      <w:tr w14:paraId="0446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381" w:type="dxa"/>
            <w:vMerge w:val="continue"/>
            <w:shd w:val="clear" w:color="auto" w:fill="FFFFFF"/>
            <w:tcMar>
              <w:top w:w="150" w:type="dxa"/>
              <w:left w:w="0" w:type="dxa"/>
              <w:bottom w:w="150" w:type="dxa"/>
              <w:right w:w="240" w:type="dxa"/>
            </w:tcMar>
            <w:vAlign w:val="center"/>
          </w:tcPr>
          <w:p w14:paraId="3DC0AC00">
            <w:pPr>
              <w:widowControl/>
              <w:spacing w:line="375" w:lineRule="atLeast"/>
              <w:ind w:firstLine="0" w:firstLineChars="0"/>
              <w:jc w:val="left"/>
              <w:rPr>
                <w:rStyle w:val="32"/>
                <w:rFonts w:ascii="宋体" w:hAnsi="宋体" w:cs="宋体"/>
                <w:bCs/>
                <w:kern w:val="0"/>
                <w:szCs w:val="21"/>
                <w:lang w:bidi="ar"/>
              </w:rPr>
            </w:pPr>
          </w:p>
        </w:tc>
        <w:tc>
          <w:tcPr>
            <w:tcW w:w="2643" w:type="dxa"/>
            <w:shd w:val="clear" w:color="auto" w:fill="FFFFFF"/>
            <w:tcMar>
              <w:top w:w="150" w:type="dxa"/>
              <w:left w:w="240" w:type="dxa"/>
              <w:bottom w:w="150" w:type="dxa"/>
              <w:right w:w="240" w:type="dxa"/>
            </w:tcMar>
            <w:vAlign w:val="center"/>
          </w:tcPr>
          <w:p w14:paraId="729B259D">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实验台防渗盘、通风橱、地面防渗层及应急物资的配备与完好性</w:t>
            </w:r>
          </w:p>
        </w:tc>
        <w:tc>
          <w:tcPr>
            <w:tcW w:w="3326" w:type="dxa"/>
            <w:shd w:val="clear" w:color="auto" w:fill="FFFFFF"/>
            <w:tcMar>
              <w:top w:w="150" w:type="dxa"/>
              <w:left w:w="240" w:type="dxa"/>
              <w:bottom w:w="150" w:type="dxa"/>
              <w:right w:w="240" w:type="dxa"/>
            </w:tcMar>
            <w:vAlign w:val="center"/>
          </w:tcPr>
          <w:p w14:paraId="12B5F6F0">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防渗盘/通风橱：□完好 □损坏</w:t>
            </w:r>
            <w:r>
              <w:rPr>
                <w:rStyle w:val="32"/>
                <w:rFonts w:ascii="宋体" w:hAnsi="宋体" w:cs="宋体"/>
                <w:b w:val="0"/>
                <w:kern w:val="0"/>
                <w:szCs w:val="21"/>
                <w:lang w:bidi="ar"/>
              </w:rPr>
              <w:br w:type="textWrapping"/>
            </w:r>
            <w:r>
              <w:rPr>
                <w:rStyle w:val="32"/>
                <w:rFonts w:ascii="宋体" w:hAnsi="宋体" w:cs="宋体"/>
                <w:b w:val="0"/>
                <w:kern w:val="0"/>
                <w:szCs w:val="21"/>
                <w:lang w:bidi="ar"/>
              </w:rPr>
              <w:t>地面防渗：□完好 □破损</w:t>
            </w:r>
            <w:r>
              <w:rPr>
                <w:rStyle w:val="32"/>
                <w:rFonts w:ascii="宋体" w:hAnsi="宋体" w:cs="宋体"/>
                <w:b w:val="0"/>
                <w:kern w:val="0"/>
                <w:szCs w:val="21"/>
                <w:lang w:bidi="ar"/>
              </w:rPr>
              <w:br w:type="textWrapping"/>
            </w:r>
            <w:r>
              <w:rPr>
                <w:rStyle w:val="32"/>
                <w:rFonts w:ascii="宋体" w:hAnsi="宋体" w:cs="宋体"/>
                <w:b w:val="0"/>
                <w:kern w:val="0"/>
                <w:szCs w:val="21"/>
                <w:lang w:bidi="ar"/>
              </w:rPr>
              <w:t>应急物资（如吸附棉、灭火器等）：□齐全有效 □缺失/失效</w:t>
            </w:r>
          </w:p>
        </w:tc>
        <w:tc>
          <w:tcPr>
            <w:tcW w:w="1292" w:type="dxa"/>
            <w:shd w:val="clear" w:color="auto" w:fill="FFFFFF"/>
            <w:tcMar>
              <w:top w:w="150" w:type="dxa"/>
              <w:left w:w="240" w:type="dxa"/>
              <w:bottom w:w="150" w:type="dxa"/>
              <w:right w:w="0" w:type="dxa"/>
            </w:tcMar>
            <w:vAlign w:val="center"/>
          </w:tcPr>
          <w:p w14:paraId="2F6C7839">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具体问题描述：</w:t>
            </w:r>
          </w:p>
        </w:tc>
      </w:tr>
      <w:tr w14:paraId="5467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381" w:type="dxa"/>
            <w:vMerge w:val="restart"/>
            <w:shd w:val="clear" w:color="auto" w:fill="FFFFFF"/>
            <w:tcMar>
              <w:top w:w="150" w:type="dxa"/>
              <w:left w:w="0" w:type="dxa"/>
              <w:bottom w:w="150" w:type="dxa"/>
              <w:right w:w="240" w:type="dxa"/>
            </w:tcMar>
            <w:vAlign w:val="center"/>
          </w:tcPr>
          <w:p w14:paraId="449D1902">
            <w:pPr>
              <w:widowControl/>
              <w:spacing w:line="375" w:lineRule="atLeast"/>
              <w:ind w:firstLine="0" w:firstLineChars="0"/>
              <w:jc w:val="left"/>
              <w:rPr>
                <w:rStyle w:val="32"/>
                <w:rFonts w:ascii="宋体" w:hAnsi="宋体" w:cs="宋体"/>
                <w:bCs/>
                <w:kern w:val="0"/>
                <w:szCs w:val="21"/>
                <w:lang w:bidi="ar"/>
              </w:rPr>
            </w:pPr>
            <w:r>
              <w:rPr>
                <w:rStyle w:val="32"/>
                <w:rFonts w:ascii="宋体" w:hAnsi="宋体" w:cs="宋体"/>
                <w:bCs/>
                <w:kern w:val="0"/>
                <w:szCs w:val="21"/>
                <w:lang w:bidi="ar"/>
              </w:rPr>
              <w:t>运行与记录</w:t>
            </w:r>
          </w:p>
        </w:tc>
        <w:tc>
          <w:tcPr>
            <w:tcW w:w="2643" w:type="dxa"/>
            <w:shd w:val="clear" w:color="auto" w:fill="FFFFFF"/>
            <w:tcMar>
              <w:top w:w="150" w:type="dxa"/>
              <w:left w:w="240" w:type="dxa"/>
              <w:bottom w:w="150" w:type="dxa"/>
              <w:right w:w="240" w:type="dxa"/>
            </w:tcMar>
            <w:vAlign w:val="center"/>
          </w:tcPr>
          <w:p w14:paraId="608C6DEF">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化学品贮存、实验操作及维修作业的日常检查记录</w:t>
            </w:r>
          </w:p>
        </w:tc>
        <w:tc>
          <w:tcPr>
            <w:tcW w:w="3326" w:type="dxa"/>
            <w:shd w:val="clear" w:color="auto" w:fill="FFFFFF"/>
            <w:tcMar>
              <w:top w:w="150" w:type="dxa"/>
              <w:left w:w="240" w:type="dxa"/>
              <w:bottom w:w="150" w:type="dxa"/>
              <w:right w:w="240" w:type="dxa"/>
            </w:tcMar>
            <w:vAlign w:val="center"/>
          </w:tcPr>
          <w:p w14:paraId="4D7A11F1">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 xml:space="preserve">□记录完整 </w:t>
            </w:r>
          </w:p>
          <w:p w14:paraId="64EA9603">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 xml:space="preserve">□记录不全 </w:t>
            </w:r>
          </w:p>
          <w:p w14:paraId="223D9CC0">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□无记录</w:t>
            </w:r>
            <w:r>
              <w:rPr>
                <w:rStyle w:val="32"/>
                <w:rFonts w:ascii="宋体" w:hAnsi="宋体" w:cs="宋体"/>
                <w:b w:val="0"/>
                <w:kern w:val="0"/>
                <w:szCs w:val="21"/>
                <w:lang w:bidi="ar"/>
              </w:rPr>
              <w:br w:type="textWrapping"/>
            </w:r>
            <w:r>
              <w:rPr>
                <w:rStyle w:val="32"/>
                <w:rFonts w:ascii="宋体" w:hAnsi="宋体" w:cs="宋体"/>
                <w:b w:val="0"/>
                <w:kern w:val="0"/>
                <w:szCs w:val="21"/>
                <w:lang w:bidi="ar"/>
              </w:rPr>
              <w:t>检查周期：□每日 □每周 □ 其他：________</w:t>
            </w:r>
          </w:p>
        </w:tc>
        <w:tc>
          <w:tcPr>
            <w:tcW w:w="1292" w:type="dxa"/>
            <w:shd w:val="clear" w:color="auto" w:fill="FFFFFF"/>
            <w:tcMar>
              <w:top w:w="150" w:type="dxa"/>
              <w:left w:w="240" w:type="dxa"/>
              <w:bottom w:w="150" w:type="dxa"/>
              <w:right w:w="0" w:type="dxa"/>
            </w:tcMar>
            <w:vAlign w:val="center"/>
          </w:tcPr>
          <w:p w14:paraId="32842CD4">
            <w:pPr>
              <w:widowControl/>
              <w:spacing w:line="375" w:lineRule="atLeast"/>
              <w:ind w:firstLine="0" w:firstLineChars="0"/>
              <w:jc w:val="left"/>
              <w:rPr>
                <w:rStyle w:val="32"/>
                <w:rFonts w:ascii="宋体" w:hAnsi="宋体" w:cs="宋体"/>
                <w:b w:val="0"/>
                <w:kern w:val="0"/>
                <w:szCs w:val="21"/>
                <w:lang w:bidi="ar"/>
              </w:rPr>
            </w:pPr>
          </w:p>
        </w:tc>
      </w:tr>
      <w:tr w14:paraId="71D7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381" w:type="dxa"/>
            <w:vMerge w:val="continue"/>
            <w:shd w:val="clear" w:color="auto" w:fill="FFFFFF"/>
            <w:tcMar>
              <w:top w:w="150" w:type="dxa"/>
              <w:left w:w="0" w:type="dxa"/>
              <w:bottom w:w="150" w:type="dxa"/>
              <w:right w:w="240" w:type="dxa"/>
            </w:tcMar>
            <w:vAlign w:val="center"/>
          </w:tcPr>
          <w:p w14:paraId="143B86C2">
            <w:pPr>
              <w:widowControl/>
              <w:spacing w:line="375" w:lineRule="atLeast"/>
              <w:ind w:firstLine="0" w:firstLineChars="0"/>
              <w:jc w:val="left"/>
              <w:rPr>
                <w:rStyle w:val="32"/>
                <w:rFonts w:ascii="宋体" w:hAnsi="宋体" w:cs="宋体"/>
                <w:bCs/>
                <w:kern w:val="0"/>
                <w:szCs w:val="21"/>
                <w:lang w:bidi="ar"/>
              </w:rPr>
            </w:pPr>
          </w:p>
        </w:tc>
        <w:tc>
          <w:tcPr>
            <w:tcW w:w="2643" w:type="dxa"/>
            <w:shd w:val="clear" w:color="auto" w:fill="FFFFFF"/>
            <w:tcMar>
              <w:top w:w="150" w:type="dxa"/>
              <w:left w:w="240" w:type="dxa"/>
              <w:bottom w:w="150" w:type="dxa"/>
              <w:right w:w="240" w:type="dxa"/>
            </w:tcMar>
            <w:vAlign w:val="center"/>
          </w:tcPr>
          <w:p w14:paraId="4BB559F9">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废液、废油的收集与处置台账</w:t>
            </w:r>
          </w:p>
        </w:tc>
        <w:tc>
          <w:tcPr>
            <w:tcW w:w="3326" w:type="dxa"/>
            <w:shd w:val="clear" w:color="auto" w:fill="FFFFFF"/>
            <w:tcMar>
              <w:top w:w="150" w:type="dxa"/>
              <w:left w:w="240" w:type="dxa"/>
              <w:bottom w:w="150" w:type="dxa"/>
              <w:right w:w="240" w:type="dxa"/>
            </w:tcMar>
            <w:vAlign w:val="center"/>
          </w:tcPr>
          <w:p w14:paraId="20E7972D">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 xml:space="preserve">□记录完整 </w:t>
            </w:r>
          </w:p>
          <w:p w14:paraId="43C1772D">
            <w:pPr>
              <w:widowControl/>
              <w:spacing w:line="375" w:lineRule="atLeast"/>
              <w:ind w:firstLine="0" w:firstLineChars="0"/>
              <w:jc w:val="left"/>
              <w:rPr>
                <w:rStyle w:val="32"/>
                <w:rFonts w:ascii="宋体" w:hAnsi="宋体" w:cs="宋体"/>
                <w:b w:val="0"/>
                <w:kern w:val="0"/>
                <w:szCs w:val="21"/>
                <w:lang w:bidi="ar"/>
              </w:rPr>
            </w:pPr>
            <w:r>
              <w:rPr>
                <w:rStyle w:val="32"/>
                <w:rFonts w:hint="eastAsia" w:ascii="宋体" w:hAnsi="宋体" w:cs="宋体"/>
                <w:b w:val="0"/>
                <w:kern w:val="0"/>
                <w:szCs w:val="21"/>
                <w:lang w:bidi="ar"/>
              </w:rPr>
              <w:t>□</w:t>
            </w:r>
            <w:r>
              <w:rPr>
                <w:rStyle w:val="32"/>
                <w:rFonts w:ascii="宋体" w:hAnsi="宋体" w:cs="宋体"/>
                <w:b w:val="0"/>
                <w:kern w:val="0"/>
                <w:szCs w:val="21"/>
                <w:lang w:bidi="ar"/>
              </w:rPr>
              <w:t xml:space="preserve">记录不全 </w:t>
            </w:r>
          </w:p>
          <w:p w14:paraId="3278714F">
            <w:pPr>
              <w:widowControl/>
              <w:spacing w:line="375" w:lineRule="atLeast"/>
              <w:ind w:firstLine="0" w:firstLineChars="0"/>
              <w:jc w:val="left"/>
              <w:rPr>
                <w:rStyle w:val="32"/>
                <w:rFonts w:ascii="宋体" w:hAnsi="宋体" w:cs="宋体"/>
                <w:b w:val="0"/>
                <w:kern w:val="0"/>
                <w:szCs w:val="21"/>
                <w:lang w:bidi="ar"/>
              </w:rPr>
            </w:pPr>
            <w:r>
              <w:rPr>
                <w:rStyle w:val="32"/>
                <w:rFonts w:ascii="宋体" w:hAnsi="宋体" w:cs="宋体"/>
                <w:b w:val="0"/>
                <w:kern w:val="0"/>
                <w:szCs w:val="21"/>
                <w:lang w:bidi="ar"/>
              </w:rPr>
              <w:t>□无台账</w:t>
            </w:r>
            <w:r>
              <w:rPr>
                <w:rStyle w:val="32"/>
                <w:rFonts w:ascii="宋体" w:hAnsi="宋体" w:cs="宋体"/>
                <w:b w:val="0"/>
                <w:kern w:val="0"/>
                <w:szCs w:val="21"/>
                <w:lang w:bidi="ar"/>
              </w:rPr>
              <w:br w:type="textWrapping"/>
            </w:r>
            <w:r>
              <w:rPr>
                <w:rStyle w:val="32"/>
                <w:rFonts w:ascii="宋体" w:hAnsi="宋体" w:cs="宋体"/>
                <w:b w:val="0"/>
                <w:kern w:val="0"/>
                <w:szCs w:val="21"/>
                <w:lang w:bidi="ar"/>
              </w:rPr>
              <w:t>委托处置单位（如适用）：________</w:t>
            </w:r>
          </w:p>
        </w:tc>
        <w:tc>
          <w:tcPr>
            <w:tcW w:w="1292" w:type="dxa"/>
            <w:shd w:val="clear" w:color="auto" w:fill="FFFFFF"/>
            <w:tcMar>
              <w:top w:w="150" w:type="dxa"/>
              <w:left w:w="240" w:type="dxa"/>
              <w:bottom w:w="150" w:type="dxa"/>
              <w:right w:w="0" w:type="dxa"/>
            </w:tcMar>
            <w:vAlign w:val="center"/>
          </w:tcPr>
          <w:p w14:paraId="72AC9DE4">
            <w:pPr>
              <w:widowControl/>
              <w:spacing w:line="375" w:lineRule="atLeast"/>
              <w:ind w:firstLine="0" w:firstLineChars="0"/>
              <w:jc w:val="left"/>
              <w:rPr>
                <w:rStyle w:val="32"/>
                <w:rFonts w:ascii="宋体" w:hAnsi="宋体" w:cs="宋体"/>
                <w:b w:val="0"/>
                <w:kern w:val="0"/>
                <w:szCs w:val="21"/>
                <w:lang w:bidi="ar"/>
              </w:rPr>
            </w:pPr>
          </w:p>
        </w:tc>
      </w:tr>
    </w:tbl>
    <w:p w14:paraId="636F944D">
      <w:pPr>
        <w:ind w:firstLine="0" w:firstLineChars="0"/>
      </w:pPr>
    </w:p>
    <w:p w14:paraId="20051BA0">
      <w:pPr>
        <w:ind w:firstLine="0" w:firstLineChars="0"/>
        <w:rPr>
          <w:color w:val="000000" w:themeColor="text1"/>
          <w:szCs w:val="21"/>
          <w14:textFill>
            <w14:solidFill>
              <w14:schemeClr w14:val="tx1"/>
            </w14:solidFill>
          </w14:textFill>
        </w:rPr>
        <w:sectPr>
          <w:footerReference r:id="rId11" w:type="default"/>
          <w:pgSz w:w="11906" w:h="16838"/>
          <w:pgMar w:top="1440" w:right="1797" w:bottom="1440" w:left="1797" w:header="851" w:footer="992" w:gutter="0"/>
          <w:pgNumType w:start="1"/>
          <w:cols w:space="720" w:num="1"/>
          <w:docGrid w:type="lines" w:linePitch="312" w:charSpace="0"/>
        </w:sectPr>
      </w:pPr>
    </w:p>
    <w:p w14:paraId="555596FF">
      <w:pPr>
        <w:pStyle w:val="2"/>
        <w:spacing w:line="240" w:lineRule="auto"/>
        <w:jc w:val="center"/>
        <w:rPr>
          <w:rFonts w:hint="eastAsia" w:eastAsia="黑体"/>
          <w:color w:val="000000" w:themeColor="text1"/>
          <w:szCs w:val="21"/>
          <w:lang w:eastAsia="zh-CN"/>
          <w14:textFill>
            <w14:solidFill>
              <w14:schemeClr w14:val="tx1"/>
            </w14:solidFill>
          </w14:textFill>
        </w:rPr>
      </w:pPr>
      <w:bookmarkStart w:id="30" w:name="_Toc31224"/>
      <w:r>
        <w:rPr>
          <w:rFonts w:hint="eastAsia"/>
          <w:color w:val="000000" w:themeColor="text1"/>
          <w:szCs w:val="21"/>
          <w14:textFill>
            <w14:solidFill>
              <w14:schemeClr w14:val="tx1"/>
            </w14:solidFill>
          </w14:textFill>
        </w:rPr>
        <w:t>附录F</w:t>
      </w:r>
      <w:bookmarkEnd w:id="30"/>
      <w:bookmarkStart w:id="31" w:name="_Toc31399"/>
      <w:r>
        <w:rPr>
          <w:rFonts w:hint="eastAsia"/>
          <w:color w:val="000000" w:themeColor="text1"/>
          <w:szCs w:val="21"/>
          <w14:textFill>
            <w14:solidFill>
              <w14:schemeClr w14:val="tx1"/>
            </w14:solidFill>
          </w14:textFill>
        </w:rPr>
        <w:t>（资料性）</w:t>
      </w:r>
      <w:bookmarkEnd w:id="31"/>
      <w:r>
        <w:rPr>
          <w:rFonts w:hint="eastAsia"/>
          <w:color w:val="000000" w:themeColor="text1"/>
          <w:szCs w:val="21"/>
          <w14:textFill>
            <w14:solidFill>
              <w14:schemeClr w14:val="tx1"/>
            </w14:solidFill>
          </w14:textFill>
        </w:rPr>
        <w:t>资料收集清单</w:t>
      </w:r>
    </w:p>
    <w:p w14:paraId="2FB5C8D5">
      <w:r>
        <w:rPr>
          <w:rFonts w:hint="eastAsia" w:ascii="Arial" w:hAnsi="Arial"/>
        </w:rPr>
        <w:t>资料收集清单见</w:t>
      </w:r>
      <w:r>
        <w:rPr>
          <w:rFonts w:hint="eastAsia"/>
        </w:rPr>
        <w:t>表F.1</w:t>
      </w:r>
    </w:p>
    <w:p w14:paraId="6AC860D5">
      <w:pPr>
        <w:pStyle w:val="9"/>
        <w:ind w:firstLine="0" w:firstLineChars="0"/>
        <w:jc w:val="center"/>
        <w:rPr>
          <w:rFonts w:ascii="黑体" w:hAnsi="黑体" w:cs="黑体"/>
        </w:rPr>
      </w:pPr>
      <w:r>
        <w:rPr>
          <w:rFonts w:hint="eastAsia" w:ascii="黑体" w:hAnsi="黑体" w:cs="黑体"/>
        </w:rPr>
        <w:t>表F.1资料收集清单</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2389"/>
        <w:gridCol w:w="727"/>
        <w:gridCol w:w="2053"/>
        <w:gridCol w:w="643"/>
        <w:gridCol w:w="2063"/>
      </w:tblGrid>
      <w:tr w14:paraId="5A17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14:paraId="4DFD7D7D">
            <w:pPr>
              <w:ind w:firstLine="0" w:firstLineChars="0"/>
              <w:jc w:val="center"/>
              <w:rPr>
                <w:szCs w:val="21"/>
              </w:rPr>
            </w:pPr>
            <w:r>
              <w:rPr>
                <w:rFonts w:hint="eastAsia"/>
                <w:szCs w:val="21"/>
              </w:rPr>
              <w:t>序号</w:t>
            </w:r>
          </w:p>
        </w:tc>
        <w:tc>
          <w:tcPr>
            <w:tcW w:w="2389" w:type="dxa"/>
          </w:tcPr>
          <w:p w14:paraId="08F17A72">
            <w:pPr>
              <w:ind w:firstLine="0" w:firstLineChars="0"/>
              <w:jc w:val="center"/>
              <w:rPr>
                <w:szCs w:val="21"/>
              </w:rPr>
            </w:pPr>
            <w:r>
              <w:rPr>
                <w:rFonts w:hint="eastAsia"/>
                <w:szCs w:val="21"/>
              </w:rPr>
              <w:t>资料名称</w:t>
            </w:r>
          </w:p>
        </w:tc>
        <w:tc>
          <w:tcPr>
            <w:tcW w:w="727" w:type="dxa"/>
          </w:tcPr>
          <w:p w14:paraId="2A2D98B8">
            <w:pPr>
              <w:ind w:firstLine="0" w:firstLineChars="0"/>
              <w:jc w:val="center"/>
              <w:rPr>
                <w:szCs w:val="21"/>
              </w:rPr>
            </w:pPr>
            <w:r>
              <w:rPr>
                <w:rFonts w:hint="eastAsia"/>
                <w:szCs w:val="21"/>
              </w:rPr>
              <w:t>序号</w:t>
            </w:r>
          </w:p>
        </w:tc>
        <w:tc>
          <w:tcPr>
            <w:tcW w:w="2053" w:type="dxa"/>
          </w:tcPr>
          <w:p w14:paraId="6F0820AD">
            <w:pPr>
              <w:ind w:firstLine="0" w:firstLineChars="0"/>
              <w:jc w:val="center"/>
              <w:rPr>
                <w:szCs w:val="21"/>
              </w:rPr>
            </w:pPr>
            <w:r>
              <w:rPr>
                <w:rFonts w:hint="eastAsia"/>
                <w:szCs w:val="21"/>
              </w:rPr>
              <w:t>资料名称</w:t>
            </w:r>
          </w:p>
        </w:tc>
        <w:tc>
          <w:tcPr>
            <w:tcW w:w="643" w:type="dxa"/>
          </w:tcPr>
          <w:p w14:paraId="266B6970">
            <w:pPr>
              <w:ind w:firstLine="0" w:firstLineChars="0"/>
              <w:jc w:val="center"/>
              <w:rPr>
                <w:szCs w:val="21"/>
              </w:rPr>
            </w:pPr>
            <w:r>
              <w:rPr>
                <w:rFonts w:hint="eastAsia"/>
                <w:szCs w:val="21"/>
              </w:rPr>
              <w:t>序号</w:t>
            </w:r>
          </w:p>
        </w:tc>
        <w:tc>
          <w:tcPr>
            <w:tcW w:w="2063" w:type="dxa"/>
          </w:tcPr>
          <w:p w14:paraId="4575E5D7">
            <w:pPr>
              <w:ind w:firstLine="0" w:firstLineChars="0"/>
              <w:jc w:val="center"/>
              <w:rPr>
                <w:szCs w:val="21"/>
              </w:rPr>
            </w:pPr>
            <w:r>
              <w:rPr>
                <w:rFonts w:hint="eastAsia"/>
                <w:szCs w:val="21"/>
              </w:rPr>
              <w:t>资料名称</w:t>
            </w:r>
          </w:p>
        </w:tc>
      </w:tr>
      <w:tr w14:paraId="2A46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14:paraId="21CCE860">
            <w:pPr>
              <w:ind w:firstLine="0" w:firstLineChars="0"/>
              <w:jc w:val="center"/>
              <w:rPr>
                <w:szCs w:val="21"/>
              </w:rPr>
            </w:pPr>
            <w:r>
              <w:rPr>
                <w:rFonts w:hint="eastAsia"/>
                <w:szCs w:val="21"/>
              </w:rPr>
              <w:t>1</w:t>
            </w:r>
          </w:p>
        </w:tc>
        <w:tc>
          <w:tcPr>
            <w:tcW w:w="2389" w:type="dxa"/>
          </w:tcPr>
          <w:p w14:paraId="002F7E5D">
            <w:pPr>
              <w:ind w:firstLine="0" w:firstLineChars="0"/>
              <w:jc w:val="center"/>
              <w:rPr>
                <w:szCs w:val="21"/>
              </w:rPr>
            </w:pPr>
            <w:r>
              <w:rPr>
                <w:rFonts w:hint="eastAsia"/>
                <w:szCs w:val="21"/>
              </w:rPr>
              <w:t>环境影响评价报告书（表）、环境影响评价登记表</w:t>
            </w:r>
          </w:p>
        </w:tc>
        <w:tc>
          <w:tcPr>
            <w:tcW w:w="727" w:type="dxa"/>
          </w:tcPr>
          <w:p w14:paraId="5C0C0559">
            <w:pPr>
              <w:ind w:firstLine="0" w:firstLineChars="0"/>
              <w:jc w:val="center"/>
              <w:rPr>
                <w:szCs w:val="21"/>
              </w:rPr>
            </w:pPr>
            <w:r>
              <w:rPr>
                <w:rFonts w:hint="eastAsia"/>
                <w:szCs w:val="21"/>
              </w:rPr>
              <w:t>6</w:t>
            </w:r>
          </w:p>
        </w:tc>
        <w:tc>
          <w:tcPr>
            <w:tcW w:w="2053" w:type="dxa"/>
          </w:tcPr>
          <w:p w14:paraId="667BE4AE">
            <w:pPr>
              <w:ind w:firstLine="0" w:firstLineChars="0"/>
              <w:jc w:val="center"/>
              <w:rPr>
                <w:szCs w:val="21"/>
              </w:rPr>
            </w:pPr>
            <w:r>
              <w:rPr>
                <w:rFonts w:hint="eastAsia"/>
                <w:szCs w:val="21"/>
              </w:rPr>
              <w:t>危险化学品清单</w:t>
            </w:r>
          </w:p>
        </w:tc>
        <w:tc>
          <w:tcPr>
            <w:tcW w:w="643" w:type="dxa"/>
          </w:tcPr>
          <w:p w14:paraId="384C8960">
            <w:pPr>
              <w:ind w:firstLine="0" w:firstLineChars="0"/>
              <w:jc w:val="center"/>
              <w:rPr>
                <w:szCs w:val="21"/>
              </w:rPr>
            </w:pPr>
            <w:r>
              <w:rPr>
                <w:rFonts w:hint="eastAsia"/>
                <w:szCs w:val="21"/>
              </w:rPr>
              <w:t>11</w:t>
            </w:r>
          </w:p>
        </w:tc>
        <w:tc>
          <w:tcPr>
            <w:tcW w:w="2063" w:type="dxa"/>
          </w:tcPr>
          <w:p w14:paraId="38DA98B0">
            <w:pPr>
              <w:ind w:firstLine="0" w:firstLineChars="0"/>
              <w:jc w:val="center"/>
              <w:rPr>
                <w:szCs w:val="21"/>
              </w:rPr>
            </w:pPr>
            <w:r>
              <w:rPr>
                <w:rFonts w:hint="eastAsia"/>
                <w:szCs w:val="21"/>
              </w:rPr>
              <w:t>环境污染事故记录</w:t>
            </w:r>
          </w:p>
        </w:tc>
      </w:tr>
      <w:tr w14:paraId="7502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14:paraId="25A9A61D">
            <w:pPr>
              <w:ind w:firstLine="0" w:firstLineChars="0"/>
              <w:jc w:val="center"/>
              <w:rPr>
                <w:szCs w:val="21"/>
              </w:rPr>
            </w:pPr>
            <w:r>
              <w:rPr>
                <w:rFonts w:hint="eastAsia"/>
                <w:szCs w:val="21"/>
              </w:rPr>
              <w:t>2</w:t>
            </w:r>
          </w:p>
        </w:tc>
        <w:tc>
          <w:tcPr>
            <w:tcW w:w="2389" w:type="dxa"/>
          </w:tcPr>
          <w:p w14:paraId="4B0E74C3">
            <w:pPr>
              <w:ind w:firstLine="0" w:firstLineChars="0"/>
              <w:jc w:val="center"/>
              <w:rPr>
                <w:szCs w:val="21"/>
              </w:rPr>
            </w:pPr>
            <w:r>
              <w:rPr>
                <w:rFonts w:hint="eastAsia"/>
                <w:szCs w:val="21"/>
              </w:rPr>
              <w:t>工业企业清洁生产审核报告</w:t>
            </w:r>
          </w:p>
        </w:tc>
        <w:tc>
          <w:tcPr>
            <w:tcW w:w="727" w:type="dxa"/>
          </w:tcPr>
          <w:p w14:paraId="5B52BAF5">
            <w:pPr>
              <w:ind w:firstLine="0" w:firstLineChars="0"/>
              <w:jc w:val="center"/>
              <w:rPr>
                <w:szCs w:val="21"/>
              </w:rPr>
            </w:pPr>
            <w:r>
              <w:rPr>
                <w:rFonts w:hint="eastAsia"/>
                <w:szCs w:val="21"/>
              </w:rPr>
              <w:t>7</w:t>
            </w:r>
          </w:p>
        </w:tc>
        <w:tc>
          <w:tcPr>
            <w:tcW w:w="2053" w:type="dxa"/>
          </w:tcPr>
          <w:p w14:paraId="2F65928F">
            <w:pPr>
              <w:ind w:firstLine="0" w:firstLineChars="0"/>
              <w:jc w:val="center"/>
              <w:rPr>
                <w:szCs w:val="21"/>
              </w:rPr>
            </w:pPr>
            <w:r>
              <w:rPr>
                <w:rFonts w:hint="eastAsia"/>
                <w:szCs w:val="21"/>
              </w:rPr>
              <w:t>安全评价报告</w:t>
            </w:r>
          </w:p>
        </w:tc>
        <w:tc>
          <w:tcPr>
            <w:tcW w:w="643" w:type="dxa"/>
          </w:tcPr>
          <w:p w14:paraId="0CBFB4C0">
            <w:pPr>
              <w:ind w:firstLine="0" w:firstLineChars="0"/>
              <w:jc w:val="center"/>
              <w:rPr>
                <w:szCs w:val="21"/>
              </w:rPr>
            </w:pPr>
            <w:r>
              <w:rPr>
                <w:rFonts w:hint="eastAsia"/>
                <w:szCs w:val="21"/>
              </w:rPr>
              <w:t>12</w:t>
            </w:r>
          </w:p>
        </w:tc>
        <w:tc>
          <w:tcPr>
            <w:tcW w:w="2063" w:type="dxa"/>
          </w:tcPr>
          <w:p w14:paraId="216491F0">
            <w:pPr>
              <w:ind w:firstLine="0" w:firstLineChars="0"/>
              <w:jc w:val="center"/>
              <w:rPr>
                <w:szCs w:val="21"/>
              </w:rPr>
            </w:pPr>
            <w:r>
              <w:rPr>
                <w:rFonts w:hint="eastAsia"/>
                <w:szCs w:val="21"/>
              </w:rPr>
              <w:t>土壤及地下水自行监测报告</w:t>
            </w:r>
          </w:p>
        </w:tc>
      </w:tr>
      <w:tr w14:paraId="6E44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14:paraId="3900762D">
            <w:pPr>
              <w:ind w:firstLine="0" w:firstLineChars="0"/>
              <w:jc w:val="center"/>
              <w:rPr>
                <w:szCs w:val="21"/>
              </w:rPr>
            </w:pPr>
            <w:r>
              <w:rPr>
                <w:rFonts w:hint="eastAsia"/>
                <w:szCs w:val="21"/>
              </w:rPr>
              <w:t>3</w:t>
            </w:r>
          </w:p>
        </w:tc>
        <w:tc>
          <w:tcPr>
            <w:tcW w:w="2389" w:type="dxa"/>
          </w:tcPr>
          <w:p w14:paraId="2C72BAAB">
            <w:pPr>
              <w:ind w:firstLine="0" w:firstLineChars="0"/>
              <w:jc w:val="center"/>
              <w:rPr>
                <w:szCs w:val="21"/>
              </w:rPr>
            </w:pPr>
            <w:r>
              <w:rPr>
                <w:rFonts w:hint="eastAsia"/>
                <w:szCs w:val="21"/>
              </w:rPr>
              <w:t>排污许可证（正本、副本、年度执行报告）</w:t>
            </w:r>
          </w:p>
        </w:tc>
        <w:tc>
          <w:tcPr>
            <w:tcW w:w="727" w:type="dxa"/>
          </w:tcPr>
          <w:p w14:paraId="71F6563D">
            <w:pPr>
              <w:ind w:firstLine="0" w:firstLineChars="0"/>
              <w:jc w:val="center"/>
              <w:rPr>
                <w:szCs w:val="21"/>
              </w:rPr>
            </w:pPr>
            <w:r>
              <w:rPr>
                <w:rFonts w:hint="eastAsia"/>
                <w:szCs w:val="21"/>
              </w:rPr>
              <w:t>8</w:t>
            </w:r>
          </w:p>
        </w:tc>
        <w:tc>
          <w:tcPr>
            <w:tcW w:w="2053" w:type="dxa"/>
          </w:tcPr>
          <w:p w14:paraId="6E236617">
            <w:pPr>
              <w:ind w:firstLine="0" w:firstLineChars="0"/>
              <w:jc w:val="center"/>
              <w:rPr>
                <w:szCs w:val="21"/>
              </w:rPr>
            </w:pPr>
            <w:r>
              <w:rPr>
                <w:rFonts w:hint="eastAsia"/>
                <w:szCs w:val="21"/>
              </w:rPr>
              <w:t>工程地质勘察报告（临近企业或区域性的）</w:t>
            </w:r>
          </w:p>
        </w:tc>
        <w:tc>
          <w:tcPr>
            <w:tcW w:w="643" w:type="dxa"/>
          </w:tcPr>
          <w:p w14:paraId="3597A3D3">
            <w:pPr>
              <w:ind w:firstLine="0" w:firstLineChars="0"/>
              <w:jc w:val="center"/>
              <w:rPr>
                <w:szCs w:val="21"/>
              </w:rPr>
            </w:pPr>
            <w:r>
              <w:rPr>
                <w:rFonts w:hint="eastAsia"/>
                <w:szCs w:val="21"/>
              </w:rPr>
              <w:t>13</w:t>
            </w:r>
          </w:p>
        </w:tc>
        <w:tc>
          <w:tcPr>
            <w:tcW w:w="2063" w:type="dxa"/>
          </w:tcPr>
          <w:p w14:paraId="3153689B">
            <w:pPr>
              <w:ind w:firstLine="0" w:firstLineChars="0"/>
              <w:jc w:val="center"/>
              <w:rPr>
                <w:szCs w:val="21"/>
              </w:rPr>
            </w:pPr>
            <w:r>
              <w:rPr>
                <w:rFonts w:hint="eastAsia"/>
                <w:szCs w:val="21"/>
              </w:rPr>
              <w:t>调查评估报告</w:t>
            </w:r>
          </w:p>
        </w:tc>
      </w:tr>
      <w:tr w14:paraId="7E41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14:paraId="7A594029">
            <w:pPr>
              <w:ind w:firstLine="0" w:firstLineChars="0"/>
              <w:jc w:val="center"/>
              <w:rPr>
                <w:szCs w:val="21"/>
              </w:rPr>
            </w:pPr>
            <w:r>
              <w:rPr>
                <w:rFonts w:hint="eastAsia"/>
                <w:szCs w:val="21"/>
              </w:rPr>
              <w:t>4</w:t>
            </w:r>
          </w:p>
        </w:tc>
        <w:tc>
          <w:tcPr>
            <w:tcW w:w="2389" w:type="dxa"/>
          </w:tcPr>
          <w:p w14:paraId="786EBE77">
            <w:pPr>
              <w:ind w:firstLine="0" w:firstLineChars="0"/>
              <w:jc w:val="center"/>
              <w:rPr>
                <w:szCs w:val="21"/>
              </w:rPr>
            </w:pPr>
            <w:r>
              <w:rPr>
                <w:rFonts w:hint="eastAsia"/>
                <w:szCs w:val="21"/>
              </w:rPr>
              <w:t>危险废物转移联单</w:t>
            </w:r>
          </w:p>
        </w:tc>
        <w:tc>
          <w:tcPr>
            <w:tcW w:w="727" w:type="dxa"/>
          </w:tcPr>
          <w:p w14:paraId="2229666C">
            <w:pPr>
              <w:ind w:firstLine="0" w:firstLineChars="0"/>
              <w:jc w:val="center"/>
              <w:rPr>
                <w:szCs w:val="21"/>
              </w:rPr>
            </w:pPr>
            <w:r>
              <w:rPr>
                <w:rFonts w:hint="eastAsia"/>
                <w:szCs w:val="21"/>
              </w:rPr>
              <w:t>9</w:t>
            </w:r>
          </w:p>
        </w:tc>
        <w:tc>
          <w:tcPr>
            <w:tcW w:w="2053" w:type="dxa"/>
          </w:tcPr>
          <w:p w14:paraId="29905C85">
            <w:pPr>
              <w:ind w:firstLine="0" w:firstLineChars="0"/>
              <w:jc w:val="center"/>
              <w:rPr>
                <w:szCs w:val="21"/>
              </w:rPr>
            </w:pPr>
            <w:r>
              <w:rPr>
                <w:rFonts w:hint="eastAsia"/>
                <w:szCs w:val="21"/>
              </w:rPr>
              <w:t>平面布置图</w:t>
            </w:r>
          </w:p>
        </w:tc>
        <w:tc>
          <w:tcPr>
            <w:tcW w:w="643" w:type="dxa"/>
          </w:tcPr>
          <w:p w14:paraId="6AFA6BF6">
            <w:pPr>
              <w:ind w:firstLine="0" w:firstLineChars="0"/>
              <w:jc w:val="center"/>
              <w:rPr>
                <w:szCs w:val="21"/>
              </w:rPr>
            </w:pPr>
            <w:r>
              <w:rPr>
                <w:rFonts w:hint="eastAsia"/>
                <w:szCs w:val="21"/>
              </w:rPr>
              <w:t>14</w:t>
            </w:r>
          </w:p>
        </w:tc>
        <w:tc>
          <w:tcPr>
            <w:tcW w:w="2063" w:type="dxa"/>
          </w:tcPr>
          <w:p w14:paraId="0BF2FEAB">
            <w:pPr>
              <w:ind w:firstLine="0" w:firstLineChars="0"/>
              <w:jc w:val="center"/>
              <w:rPr>
                <w:szCs w:val="21"/>
              </w:rPr>
            </w:pPr>
            <w:r>
              <w:rPr>
                <w:rFonts w:hint="eastAsia"/>
                <w:szCs w:val="21"/>
              </w:rPr>
              <w:t>建设项目竣工环境保护验收</w:t>
            </w:r>
          </w:p>
        </w:tc>
      </w:tr>
      <w:tr w14:paraId="48FB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14:paraId="01E92EC6">
            <w:pPr>
              <w:ind w:firstLine="0" w:firstLineChars="0"/>
              <w:jc w:val="center"/>
              <w:rPr>
                <w:szCs w:val="21"/>
              </w:rPr>
            </w:pPr>
            <w:r>
              <w:rPr>
                <w:rFonts w:hint="eastAsia"/>
                <w:szCs w:val="21"/>
              </w:rPr>
              <w:t>5</w:t>
            </w:r>
          </w:p>
        </w:tc>
        <w:tc>
          <w:tcPr>
            <w:tcW w:w="2389" w:type="dxa"/>
          </w:tcPr>
          <w:p w14:paraId="186B7611">
            <w:pPr>
              <w:ind w:firstLine="0" w:firstLineChars="0"/>
              <w:jc w:val="center"/>
              <w:rPr>
                <w:szCs w:val="21"/>
              </w:rPr>
            </w:pPr>
            <w:r>
              <w:rPr>
                <w:rFonts w:hint="eastAsia"/>
                <w:szCs w:val="21"/>
              </w:rPr>
              <w:t>环境统计报表</w:t>
            </w:r>
          </w:p>
        </w:tc>
        <w:tc>
          <w:tcPr>
            <w:tcW w:w="727" w:type="dxa"/>
          </w:tcPr>
          <w:p w14:paraId="56E60F55">
            <w:pPr>
              <w:ind w:firstLine="0" w:firstLineChars="0"/>
              <w:jc w:val="center"/>
              <w:rPr>
                <w:szCs w:val="21"/>
              </w:rPr>
            </w:pPr>
            <w:r>
              <w:rPr>
                <w:rFonts w:hint="eastAsia"/>
                <w:szCs w:val="21"/>
              </w:rPr>
              <w:t>10</w:t>
            </w:r>
          </w:p>
        </w:tc>
        <w:tc>
          <w:tcPr>
            <w:tcW w:w="2053" w:type="dxa"/>
          </w:tcPr>
          <w:p w14:paraId="367D2AB3">
            <w:pPr>
              <w:ind w:firstLine="0" w:firstLineChars="0"/>
              <w:jc w:val="center"/>
              <w:rPr>
                <w:szCs w:val="21"/>
              </w:rPr>
            </w:pPr>
            <w:r>
              <w:rPr>
                <w:rFonts w:hint="eastAsia"/>
                <w:szCs w:val="21"/>
              </w:rPr>
              <w:t>责令改正违法行为决定书</w:t>
            </w:r>
          </w:p>
        </w:tc>
        <w:tc>
          <w:tcPr>
            <w:tcW w:w="643" w:type="dxa"/>
          </w:tcPr>
          <w:p w14:paraId="1FC82802">
            <w:pPr>
              <w:ind w:firstLine="0" w:firstLineChars="0"/>
              <w:jc w:val="center"/>
              <w:rPr>
                <w:szCs w:val="21"/>
              </w:rPr>
            </w:pPr>
            <w:r>
              <w:rPr>
                <w:rFonts w:hint="eastAsia"/>
                <w:szCs w:val="21"/>
              </w:rPr>
              <w:t>15</w:t>
            </w:r>
          </w:p>
        </w:tc>
        <w:tc>
          <w:tcPr>
            <w:tcW w:w="2063" w:type="dxa"/>
          </w:tcPr>
          <w:p w14:paraId="19AE1A82">
            <w:pPr>
              <w:ind w:firstLine="0" w:firstLineChars="0"/>
              <w:jc w:val="center"/>
              <w:rPr>
                <w:szCs w:val="21"/>
              </w:rPr>
            </w:pPr>
            <w:r>
              <w:rPr>
                <w:rFonts w:hint="eastAsia"/>
                <w:szCs w:val="21"/>
              </w:rPr>
              <w:t>土壤污染隐患排查</w:t>
            </w:r>
          </w:p>
        </w:tc>
      </w:tr>
    </w:tbl>
    <w:p w14:paraId="183267E7">
      <w:pPr>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p>
    <w:p w14:paraId="149F7876">
      <w:pPr>
        <w:pStyle w:val="2"/>
        <w:spacing w:line="240" w:lineRule="auto"/>
        <w:jc w:val="center"/>
        <w:rPr>
          <w:color w:val="000000" w:themeColor="text1"/>
          <w:szCs w:val="21"/>
          <w14:textFill>
            <w14:solidFill>
              <w14:schemeClr w14:val="tx1"/>
            </w14:solidFill>
          </w14:textFill>
        </w:rPr>
      </w:pPr>
      <w:bookmarkStart w:id="32" w:name="_Toc13543"/>
      <w:r>
        <w:rPr>
          <w:rFonts w:hint="eastAsia"/>
          <w:color w:val="000000" w:themeColor="text1"/>
          <w:szCs w:val="21"/>
          <w14:textFill>
            <w14:solidFill>
              <w14:schemeClr w14:val="tx1"/>
            </w14:solidFill>
          </w14:textFill>
        </w:rPr>
        <w:t>附录G</w:t>
      </w:r>
      <w:bookmarkEnd w:id="32"/>
      <w:bookmarkStart w:id="33" w:name="_Toc15728"/>
      <w:r>
        <w:rPr>
          <w:rFonts w:hint="eastAsia"/>
          <w:color w:val="000000" w:themeColor="text1"/>
          <w:szCs w:val="21"/>
          <w14:textFill>
            <w14:solidFill>
              <w14:schemeClr w14:val="tx1"/>
            </w14:solidFill>
          </w14:textFill>
        </w:rPr>
        <w:t>（资料性）</w:t>
      </w:r>
      <w:bookmarkEnd w:id="33"/>
      <w:r>
        <w:rPr>
          <w:rFonts w:hint="eastAsia" w:ascii="Arial" w:hAnsi="Arial"/>
        </w:rPr>
        <w:t>实时记录资料列表</w:t>
      </w:r>
    </w:p>
    <w:p w14:paraId="4841E44B">
      <w:r>
        <w:rPr>
          <w:rFonts w:hint="eastAsia" w:ascii="Arial" w:hAnsi="Arial"/>
        </w:rPr>
        <w:t>实时记录资料列表见</w:t>
      </w:r>
      <w:r>
        <w:rPr>
          <w:rFonts w:hint="eastAsia"/>
        </w:rPr>
        <w:t>表G.1</w:t>
      </w:r>
    </w:p>
    <w:p w14:paraId="287CBD11">
      <w:pPr>
        <w:pStyle w:val="9"/>
        <w:ind w:firstLine="0" w:firstLineChars="0"/>
        <w:jc w:val="center"/>
        <w:rPr>
          <w:rFonts w:ascii="黑体" w:hAnsi="黑体" w:cs="黑体"/>
        </w:rPr>
      </w:pPr>
      <w:r>
        <w:rPr>
          <w:rFonts w:hint="eastAsia" w:ascii="黑体" w:hAnsi="黑体" w:cs="黑体"/>
        </w:rPr>
        <w:t>表G.1实时记录资料列表</w:t>
      </w:r>
    </w:p>
    <w:tbl>
      <w:tblPr>
        <w:tblStyle w:val="30"/>
        <w:tblW w:w="5018" w:type="pct"/>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980"/>
        <w:gridCol w:w="1208"/>
        <w:gridCol w:w="1182"/>
        <w:gridCol w:w="1204"/>
        <w:gridCol w:w="1640"/>
        <w:gridCol w:w="1192"/>
      </w:tblGrid>
      <w:tr w14:paraId="432E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tcPr>
          <w:p w14:paraId="54F403A7">
            <w:pPr>
              <w:ind w:firstLine="0" w:firstLineChars="0"/>
              <w:rPr>
                <w:b/>
                <w:bCs/>
              </w:rPr>
            </w:pPr>
            <w:r>
              <w:rPr>
                <w:rFonts w:hint="eastAsia"/>
                <w:b/>
                <w:bCs/>
              </w:rPr>
              <w:t>所属区域</w:t>
            </w:r>
          </w:p>
        </w:tc>
        <w:tc>
          <w:tcPr>
            <w:tcW w:w="572" w:type="pct"/>
          </w:tcPr>
          <w:p w14:paraId="7506C177">
            <w:pPr>
              <w:ind w:firstLine="0" w:firstLineChars="0"/>
              <w:rPr>
                <w:b/>
                <w:bCs/>
              </w:rPr>
            </w:pPr>
            <w:r>
              <w:rPr>
                <w:rFonts w:hint="eastAsia"/>
                <w:b/>
                <w:bCs/>
              </w:rPr>
              <w:t>设施设备名称</w:t>
            </w:r>
          </w:p>
        </w:tc>
        <w:tc>
          <w:tcPr>
            <w:tcW w:w="705" w:type="pct"/>
          </w:tcPr>
          <w:p w14:paraId="38DAB03B">
            <w:pPr>
              <w:ind w:firstLine="0" w:firstLineChars="0"/>
              <w:rPr>
                <w:b/>
                <w:bCs/>
              </w:rPr>
            </w:pPr>
            <w:r>
              <w:rPr>
                <w:rFonts w:hint="eastAsia"/>
                <w:b/>
                <w:bCs/>
              </w:rPr>
              <w:t>巡查时间</w:t>
            </w:r>
          </w:p>
        </w:tc>
        <w:tc>
          <w:tcPr>
            <w:tcW w:w="690" w:type="pct"/>
          </w:tcPr>
          <w:p w14:paraId="0F71F0B6">
            <w:pPr>
              <w:ind w:firstLine="0" w:firstLineChars="0"/>
              <w:rPr>
                <w:b/>
                <w:bCs/>
              </w:rPr>
            </w:pPr>
            <w:r>
              <w:rPr>
                <w:rFonts w:hint="eastAsia"/>
                <w:b/>
                <w:bCs/>
              </w:rPr>
              <w:t>巡查人员</w:t>
            </w:r>
          </w:p>
        </w:tc>
        <w:tc>
          <w:tcPr>
            <w:tcW w:w="703" w:type="pct"/>
          </w:tcPr>
          <w:p w14:paraId="233262DF">
            <w:pPr>
              <w:ind w:firstLine="0" w:firstLineChars="0"/>
              <w:rPr>
                <w:b/>
                <w:bCs/>
              </w:rPr>
            </w:pPr>
            <w:r>
              <w:rPr>
                <w:rFonts w:hint="eastAsia"/>
                <w:b/>
                <w:bCs/>
              </w:rPr>
              <w:t>巡检结果</w:t>
            </w:r>
          </w:p>
        </w:tc>
        <w:tc>
          <w:tcPr>
            <w:tcW w:w="957" w:type="pct"/>
          </w:tcPr>
          <w:p w14:paraId="4EAC0FF3">
            <w:pPr>
              <w:ind w:firstLine="0" w:firstLineChars="0"/>
              <w:rPr>
                <w:b/>
                <w:bCs/>
              </w:rPr>
            </w:pPr>
            <w:r>
              <w:rPr>
                <w:b/>
                <w:bCs/>
              </w:rPr>
              <w:t>设备维护保养</w:t>
            </w:r>
            <w:r>
              <w:rPr>
                <w:rFonts w:hint="eastAsia"/>
                <w:b/>
                <w:bCs/>
              </w:rPr>
              <w:t>情况</w:t>
            </w:r>
          </w:p>
        </w:tc>
        <w:tc>
          <w:tcPr>
            <w:tcW w:w="696" w:type="pct"/>
          </w:tcPr>
          <w:p w14:paraId="74C92793">
            <w:pPr>
              <w:ind w:firstLine="0" w:firstLineChars="0"/>
              <w:rPr>
                <w:b/>
                <w:bCs/>
              </w:rPr>
            </w:pPr>
            <w:r>
              <w:rPr>
                <w:b/>
                <w:bCs/>
              </w:rPr>
              <w:t>泄漏检测</w:t>
            </w:r>
            <w:r>
              <w:rPr>
                <w:rFonts w:hint="eastAsia"/>
                <w:b/>
                <w:bCs/>
              </w:rPr>
              <w:t>情况</w:t>
            </w:r>
          </w:p>
        </w:tc>
      </w:tr>
      <w:tr w14:paraId="5C9E0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tcPr>
          <w:p w14:paraId="69D4B1B8">
            <w:pPr>
              <w:ind w:firstLine="0" w:firstLineChars="0"/>
            </w:pPr>
          </w:p>
        </w:tc>
        <w:tc>
          <w:tcPr>
            <w:tcW w:w="572" w:type="pct"/>
          </w:tcPr>
          <w:p w14:paraId="4D7A7F0E"/>
        </w:tc>
        <w:tc>
          <w:tcPr>
            <w:tcW w:w="705" w:type="pct"/>
          </w:tcPr>
          <w:p w14:paraId="79E49130"/>
        </w:tc>
        <w:tc>
          <w:tcPr>
            <w:tcW w:w="690" w:type="pct"/>
          </w:tcPr>
          <w:p w14:paraId="4B0058ED"/>
        </w:tc>
        <w:tc>
          <w:tcPr>
            <w:tcW w:w="703" w:type="pct"/>
          </w:tcPr>
          <w:p w14:paraId="2B3A6FA3"/>
        </w:tc>
        <w:tc>
          <w:tcPr>
            <w:tcW w:w="957" w:type="pct"/>
          </w:tcPr>
          <w:p w14:paraId="26DAB305"/>
        </w:tc>
        <w:tc>
          <w:tcPr>
            <w:tcW w:w="696" w:type="pct"/>
          </w:tcPr>
          <w:p w14:paraId="72A61271"/>
        </w:tc>
      </w:tr>
    </w:tbl>
    <w:p w14:paraId="5989DCF2">
      <w:pPr>
        <w:pBdr>
          <w:bottom w:val="single" w:color="auto" w:sz="4" w:space="0"/>
        </w:pBdr>
        <w:ind w:firstLine="0" w:firstLineChars="0"/>
        <w:rPr>
          <w:color w:val="000000" w:themeColor="text1"/>
          <w:szCs w:val="21"/>
          <w14:textFill>
            <w14:solidFill>
              <w14:schemeClr w14:val="tx1"/>
            </w14:solidFill>
          </w14:textFill>
        </w:rPr>
      </w:pPr>
    </w:p>
    <w:p w14:paraId="201FD381">
      <w:pPr>
        <w:ind w:firstLine="0" w:firstLineChars="0"/>
        <w:rPr>
          <w:color w:val="000000" w:themeColor="text1"/>
          <w:szCs w:val="21"/>
          <w14:textFill>
            <w14:solidFill>
              <w14:schemeClr w14:val="tx1"/>
            </w14:solidFill>
          </w14:textFill>
        </w:rPr>
      </w:pPr>
    </w:p>
    <w:sectPr>
      <w:pgSz w:w="11906" w:h="16838"/>
      <w:pgMar w:top="1440" w:right="1797" w:bottom="1440" w:left="179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5044307-2E1E-43F3-AE39-68CABAF0478F}"/>
  </w:font>
  <w:font w:name="黑体">
    <w:panose1 w:val="02010609060101010101"/>
    <w:charset w:val="86"/>
    <w:family w:val="auto"/>
    <w:pitch w:val="default"/>
    <w:sig w:usb0="800002BF" w:usb1="38CF7CFA" w:usb2="00000016" w:usb3="00000000" w:csb0="00040001" w:csb1="00000000"/>
    <w:embedRegular r:id="rId2" w:fontKey="{9ED3DA26-103B-4B15-BF21-751E11CE6B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embedRegular r:id="rId3" w:fontKey="{11E1322E-A547-4C65-BF43-2F10A0F29ACB}"/>
  </w:font>
  <w:font w:name="方正小标宋简体">
    <w:panose1 w:val="02000000000000000000"/>
    <w:charset w:val="86"/>
    <w:family w:val="script"/>
    <w:pitch w:val="default"/>
    <w:sig w:usb0="00000001" w:usb1="08000000" w:usb2="00000000" w:usb3="00000000" w:csb0="00040000" w:csb1="00000000"/>
    <w:embedRegular r:id="rId4" w:fontKey="{855A662B-C273-4220-B3D8-3B6EBB7CCC40}"/>
  </w:font>
  <w:font w:name="Wingdings 2">
    <w:panose1 w:val="05020102010507070707"/>
    <w:charset w:val="02"/>
    <w:family w:val="roman"/>
    <w:pitch w:val="default"/>
    <w:sig w:usb0="00000000" w:usb1="00000000" w:usb2="00000000" w:usb3="00000000" w:csb0="80000000" w:csb1="00000000"/>
    <w:embedRegular r:id="rId5" w:fontKey="{030D395C-9EFE-4BB6-9433-E2F707981D8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4C92C">
    <w:pPr>
      <w:pStyle w:val="1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E7E12">
    <w:pPr>
      <w:pStyle w:val="19"/>
      <w:ind w:firstLine="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FC1C8F">
                          <w:pPr>
                            <w:pStyle w:val="19"/>
                            <w:ind w:firstLine="360"/>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I</w:t>
                          </w:r>
                          <w:r>
                            <w:rPr>
                              <w:rFonts w:ascii="Times New Roman" w:hAnsi="Times New Roma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AyeMgBAACZAwAADgAAAGRycy9lMm9Eb2MueG1srVPNjtMwEL4j8Q6W&#10;79RpD2wV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ogMnjIAQAAmQMAAA4AAAAAAAAAAQAgAAAAHgEAAGRycy9lMm9Eb2Mu&#10;eG1sUEsFBgAAAAAGAAYAWQEAAFgFAAAAAA==&#10;">
              <v:fill on="f" focussize="0,0"/>
              <v:stroke on="f"/>
              <v:imagedata o:title=""/>
              <o:lock v:ext="edit" aspectratio="f"/>
              <v:textbox inset="0mm,0mm,0mm,0mm" style="mso-fit-shape-to-text:t;">
                <w:txbxContent>
                  <w:p w14:paraId="75FC1C8F">
                    <w:pPr>
                      <w:pStyle w:val="19"/>
                      <w:ind w:firstLine="360"/>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I</w:t>
                    </w:r>
                    <w:r>
                      <w:rPr>
                        <w:rFonts w:ascii="Times New Roman" w:hAnsi="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BB391">
    <w:pPr>
      <w:pStyle w:val="19"/>
      <w:ind w:firstLine="360"/>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119F1C">
                          <w:pPr>
                            <w:pStyle w:val="19"/>
                            <w:ind w:firstLine="360"/>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II</w:t>
                          </w:r>
                          <w:r>
                            <w:rPr>
                              <w:rFonts w:ascii="Times New Roman" w:hAnsi="Times New Roma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0dLr8gBAACZAwAADgAAAGRycy9lMm9Eb2MueG1srVPNjtMwEL4j8Q6W&#10;79RpD6gb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tHS6/IAQAAmQMAAA4AAAAAAAAAAQAgAAAAHgEAAGRycy9lMm9Eb2Mu&#10;eG1sUEsFBgAAAAAGAAYAWQEAAFgFAAAAAA==&#10;">
              <v:fill on="f" focussize="0,0"/>
              <v:stroke on="f"/>
              <v:imagedata o:title=""/>
              <o:lock v:ext="edit" aspectratio="f"/>
              <v:textbox inset="0mm,0mm,0mm,0mm" style="mso-fit-shape-to-text:t;">
                <w:txbxContent>
                  <w:p w14:paraId="02119F1C">
                    <w:pPr>
                      <w:pStyle w:val="19"/>
                      <w:ind w:firstLine="360"/>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II</w:t>
                    </w:r>
                    <w:r>
                      <w:rPr>
                        <w:rFonts w:ascii="Times New Roman" w:hAnsi="Times New Roma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0795B">
    <w:pPr>
      <w:pStyle w:val="19"/>
      <w:ind w:firstLine="360"/>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7FC7A5">
                          <w:pPr>
                            <w:pStyle w:val="19"/>
                            <w:ind w:firstLine="360"/>
                          </w:pPr>
                          <w:r>
                            <w:fldChar w:fldCharType="begin"/>
                          </w:r>
                          <w:r>
                            <w:instrText xml:space="preserve"> PAGE  \* MERGEFORMAT </w:instrText>
                          </w:r>
                          <w:r>
                            <w:fldChar w:fldCharType="separate"/>
                          </w:r>
                          <w:r>
                            <w:t>16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h/JjIAQAAmQMAAA4AAAAAAAAAAQAgAAAAHgEAAGRycy9lMm9Eb2Mu&#10;eG1sUEsFBgAAAAAGAAYAWQEAAFgFAAAAAA==&#10;">
              <v:fill on="f" focussize="0,0"/>
              <v:stroke on="f"/>
              <v:imagedata o:title=""/>
              <o:lock v:ext="edit" aspectratio="f"/>
              <v:textbox inset="0mm,0mm,0mm,0mm" style="mso-fit-shape-to-text:t;">
                <w:txbxContent>
                  <w:p w14:paraId="5C7FC7A5">
                    <w:pPr>
                      <w:pStyle w:val="19"/>
                      <w:ind w:firstLine="360"/>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DB20D">
    <w:pPr>
      <w:pStyle w:val="2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A4FDD">
    <w:pPr>
      <w:pStyle w:val="67"/>
    </w:pPr>
    <w:r>
      <w:t>CAEPI XXX</w:t>
    </w:r>
    <w:r>
      <w:rPr>
        <w:rFonts w:hint="eastAsia"/>
      </w:rPr>
      <w:t>－</w:t>
    </w:r>
    <w:r>
      <w:t>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EFC97">
    <w:pPr>
      <w:pStyle w:val="20"/>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92460D"/>
    <w:multiLevelType w:val="singleLevel"/>
    <w:tmpl w:val="BB92460D"/>
    <w:lvl w:ilvl="0" w:tentative="0">
      <w:start w:val="1"/>
      <w:numFmt w:val="lowerLetter"/>
      <w:suff w:val="space"/>
      <w:lvlText w:val="%1)"/>
      <w:lvlJc w:val="left"/>
    </w:lvl>
  </w:abstractNum>
  <w:abstractNum w:abstractNumId="1">
    <w:nsid w:val="C9AD8076"/>
    <w:multiLevelType w:val="singleLevel"/>
    <w:tmpl w:val="C9AD8076"/>
    <w:lvl w:ilvl="0" w:tentative="0">
      <w:start w:val="1"/>
      <w:numFmt w:val="lowerLetter"/>
      <w:suff w:val="space"/>
      <w:lvlText w:val="%1)"/>
      <w:lvlJc w:val="left"/>
    </w:lvl>
  </w:abstractNum>
  <w:abstractNum w:abstractNumId="2">
    <w:nsid w:val="DD4509A3"/>
    <w:multiLevelType w:val="singleLevel"/>
    <w:tmpl w:val="DD4509A3"/>
    <w:lvl w:ilvl="0" w:tentative="0">
      <w:start w:val="1"/>
      <w:numFmt w:val="lowerLetter"/>
      <w:suff w:val="space"/>
      <w:lvlText w:val="%1)"/>
      <w:lvlJc w:val="left"/>
    </w:lvl>
  </w:abstractNum>
  <w:abstractNum w:abstractNumId="3">
    <w:nsid w:val="F239D257"/>
    <w:multiLevelType w:val="singleLevel"/>
    <w:tmpl w:val="F239D257"/>
    <w:lvl w:ilvl="0" w:tentative="0">
      <w:start w:val="1"/>
      <w:numFmt w:val="lowerLetter"/>
      <w:suff w:val="space"/>
      <w:lvlText w:val="%1)"/>
      <w:lvlJc w:val="left"/>
    </w:lvl>
  </w:abstractNum>
  <w:abstractNum w:abstractNumId="4">
    <w:nsid w:val="3CD6A794"/>
    <w:multiLevelType w:val="singleLevel"/>
    <w:tmpl w:val="3CD6A794"/>
    <w:lvl w:ilvl="0" w:tentative="0">
      <w:start w:val="5"/>
      <w:numFmt w:val="decimal"/>
      <w:suff w:val="nothing"/>
      <w:lvlText w:val="%1　"/>
      <w:lvlJc w:val="left"/>
    </w:lvl>
  </w:abstractNum>
  <w:abstractNum w:abstractNumId="5">
    <w:nsid w:val="4576F2E7"/>
    <w:multiLevelType w:val="singleLevel"/>
    <w:tmpl w:val="4576F2E7"/>
    <w:lvl w:ilvl="0" w:tentative="0">
      <w:start w:val="1"/>
      <w:numFmt w:val="lowerLetter"/>
      <w:suff w:val="space"/>
      <w:lvlText w:val="%1)"/>
      <w:lvlJc w:val="left"/>
      <w:pPr>
        <w:ind w:left="0"/>
      </w:pPr>
    </w:lvl>
  </w:abstractNum>
  <w:abstractNum w:abstractNumId="6">
    <w:nsid w:val="79A1190B"/>
    <w:multiLevelType w:val="singleLevel"/>
    <w:tmpl w:val="79A1190B"/>
    <w:lvl w:ilvl="0" w:tentative="0">
      <w:start w:val="1"/>
      <w:numFmt w:val="lowerLetter"/>
      <w:suff w:val="space"/>
      <w:lvlText w:val="%1)"/>
      <w:lvlJc w:val="left"/>
    </w:lvl>
  </w:abstractNum>
  <w:num w:numId="1">
    <w:abstractNumId w:val="4"/>
  </w:num>
  <w:num w:numId="2">
    <w:abstractNumId w:val="3"/>
  </w:num>
  <w:num w:numId="3">
    <w:abstractNumId w:val="0"/>
  </w:num>
  <w:num w:numId="4">
    <w:abstractNumId w:val="6"/>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4MzM5N2M1NjI3ZTRhYjIxZTQ5OTk4NjM0NzhiZjIifQ=="/>
  </w:docVars>
  <w:rsids>
    <w:rsidRoot w:val="00172A27"/>
    <w:rsid w:val="00000084"/>
    <w:rsid w:val="00000C89"/>
    <w:rsid w:val="00001F2B"/>
    <w:rsid w:val="00001F7F"/>
    <w:rsid w:val="00002671"/>
    <w:rsid w:val="000029C6"/>
    <w:rsid w:val="00003167"/>
    <w:rsid w:val="0000338A"/>
    <w:rsid w:val="00003641"/>
    <w:rsid w:val="00004D8D"/>
    <w:rsid w:val="00004DCB"/>
    <w:rsid w:val="00004E35"/>
    <w:rsid w:val="00005444"/>
    <w:rsid w:val="00006B56"/>
    <w:rsid w:val="00007A7E"/>
    <w:rsid w:val="00010457"/>
    <w:rsid w:val="00011B67"/>
    <w:rsid w:val="00012010"/>
    <w:rsid w:val="00012A35"/>
    <w:rsid w:val="0001379C"/>
    <w:rsid w:val="00015F1A"/>
    <w:rsid w:val="00016C82"/>
    <w:rsid w:val="00020C60"/>
    <w:rsid w:val="00021A23"/>
    <w:rsid w:val="00022F5B"/>
    <w:rsid w:val="00023904"/>
    <w:rsid w:val="00025ED8"/>
    <w:rsid w:val="00027512"/>
    <w:rsid w:val="00030B0E"/>
    <w:rsid w:val="00030E31"/>
    <w:rsid w:val="0003128F"/>
    <w:rsid w:val="00033A08"/>
    <w:rsid w:val="00034464"/>
    <w:rsid w:val="0003533B"/>
    <w:rsid w:val="00035AB6"/>
    <w:rsid w:val="0003683C"/>
    <w:rsid w:val="00036D43"/>
    <w:rsid w:val="00037DBF"/>
    <w:rsid w:val="000404E7"/>
    <w:rsid w:val="00041FE1"/>
    <w:rsid w:val="000423E0"/>
    <w:rsid w:val="0004244E"/>
    <w:rsid w:val="0004461F"/>
    <w:rsid w:val="00045015"/>
    <w:rsid w:val="00045144"/>
    <w:rsid w:val="00045235"/>
    <w:rsid w:val="0004575B"/>
    <w:rsid w:val="00045E21"/>
    <w:rsid w:val="000467F4"/>
    <w:rsid w:val="00046AA0"/>
    <w:rsid w:val="00052417"/>
    <w:rsid w:val="00053724"/>
    <w:rsid w:val="00053CB8"/>
    <w:rsid w:val="0005459F"/>
    <w:rsid w:val="000545AB"/>
    <w:rsid w:val="000554B9"/>
    <w:rsid w:val="00056915"/>
    <w:rsid w:val="000574DF"/>
    <w:rsid w:val="00057B52"/>
    <w:rsid w:val="00057DFC"/>
    <w:rsid w:val="00057E22"/>
    <w:rsid w:val="000618D5"/>
    <w:rsid w:val="000619B8"/>
    <w:rsid w:val="00063AED"/>
    <w:rsid w:val="00065250"/>
    <w:rsid w:val="000659AA"/>
    <w:rsid w:val="00066020"/>
    <w:rsid w:val="00066C27"/>
    <w:rsid w:val="00066F94"/>
    <w:rsid w:val="00070A91"/>
    <w:rsid w:val="00071EF2"/>
    <w:rsid w:val="000722BE"/>
    <w:rsid w:val="000723D8"/>
    <w:rsid w:val="0007284D"/>
    <w:rsid w:val="00073DB8"/>
    <w:rsid w:val="00074395"/>
    <w:rsid w:val="00074B41"/>
    <w:rsid w:val="00074DEF"/>
    <w:rsid w:val="00075C4E"/>
    <w:rsid w:val="000765B7"/>
    <w:rsid w:val="00076737"/>
    <w:rsid w:val="00076C14"/>
    <w:rsid w:val="0008092C"/>
    <w:rsid w:val="00081F4C"/>
    <w:rsid w:val="000823A9"/>
    <w:rsid w:val="00082F89"/>
    <w:rsid w:val="00083689"/>
    <w:rsid w:val="0008483E"/>
    <w:rsid w:val="00084922"/>
    <w:rsid w:val="00086561"/>
    <w:rsid w:val="00086CAA"/>
    <w:rsid w:val="00090C17"/>
    <w:rsid w:val="00090DC9"/>
    <w:rsid w:val="00092E10"/>
    <w:rsid w:val="00093902"/>
    <w:rsid w:val="000940D6"/>
    <w:rsid w:val="000961A3"/>
    <w:rsid w:val="0009776B"/>
    <w:rsid w:val="00097CE0"/>
    <w:rsid w:val="000A0106"/>
    <w:rsid w:val="000A31B4"/>
    <w:rsid w:val="000A3FFB"/>
    <w:rsid w:val="000A6240"/>
    <w:rsid w:val="000A6F8B"/>
    <w:rsid w:val="000A72DC"/>
    <w:rsid w:val="000A74FA"/>
    <w:rsid w:val="000A765C"/>
    <w:rsid w:val="000B0828"/>
    <w:rsid w:val="000B0F0E"/>
    <w:rsid w:val="000B15D8"/>
    <w:rsid w:val="000B1A6C"/>
    <w:rsid w:val="000B2E42"/>
    <w:rsid w:val="000B3A5C"/>
    <w:rsid w:val="000B4929"/>
    <w:rsid w:val="000B4CF6"/>
    <w:rsid w:val="000B610C"/>
    <w:rsid w:val="000B6C88"/>
    <w:rsid w:val="000B7443"/>
    <w:rsid w:val="000B7866"/>
    <w:rsid w:val="000C2976"/>
    <w:rsid w:val="000C346E"/>
    <w:rsid w:val="000C39E6"/>
    <w:rsid w:val="000C3C27"/>
    <w:rsid w:val="000C54FC"/>
    <w:rsid w:val="000C5822"/>
    <w:rsid w:val="000C716D"/>
    <w:rsid w:val="000C7239"/>
    <w:rsid w:val="000D02F7"/>
    <w:rsid w:val="000D17E5"/>
    <w:rsid w:val="000D216D"/>
    <w:rsid w:val="000D2A67"/>
    <w:rsid w:val="000D5016"/>
    <w:rsid w:val="000D6BA2"/>
    <w:rsid w:val="000D73B1"/>
    <w:rsid w:val="000E1245"/>
    <w:rsid w:val="000E1783"/>
    <w:rsid w:val="000E1D89"/>
    <w:rsid w:val="000E1E01"/>
    <w:rsid w:val="000E2467"/>
    <w:rsid w:val="000E2EFC"/>
    <w:rsid w:val="000E3A01"/>
    <w:rsid w:val="000E3A89"/>
    <w:rsid w:val="000E44C8"/>
    <w:rsid w:val="000E4D4B"/>
    <w:rsid w:val="000E54A4"/>
    <w:rsid w:val="000E62AB"/>
    <w:rsid w:val="000F08FC"/>
    <w:rsid w:val="000F23B8"/>
    <w:rsid w:val="000F2D43"/>
    <w:rsid w:val="000F2E42"/>
    <w:rsid w:val="000F3B4D"/>
    <w:rsid w:val="000F4B80"/>
    <w:rsid w:val="000F6B50"/>
    <w:rsid w:val="0010093C"/>
    <w:rsid w:val="00100E84"/>
    <w:rsid w:val="00100F9F"/>
    <w:rsid w:val="00101C88"/>
    <w:rsid w:val="0010236B"/>
    <w:rsid w:val="0010530D"/>
    <w:rsid w:val="00105E30"/>
    <w:rsid w:val="0010671D"/>
    <w:rsid w:val="001068DC"/>
    <w:rsid w:val="001069AC"/>
    <w:rsid w:val="0010765A"/>
    <w:rsid w:val="00107B4D"/>
    <w:rsid w:val="00107FFE"/>
    <w:rsid w:val="00110643"/>
    <w:rsid w:val="00111B65"/>
    <w:rsid w:val="00111C26"/>
    <w:rsid w:val="00112A25"/>
    <w:rsid w:val="00113B27"/>
    <w:rsid w:val="00115126"/>
    <w:rsid w:val="001157B1"/>
    <w:rsid w:val="00115FDE"/>
    <w:rsid w:val="00116960"/>
    <w:rsid w:val="00117098"/>
    <w:rsid w:val="00117819"/>
    <w:rsid w:val="00121CD1"/>
    <w:rsid w:val="0012532B"/>
    <w:rsid w:val="00126BC4"/>
    <w:rsid w:val="0012735A"/>
    <w:rsid w:val="0013056A"/>
    <w:rsid w:val="00130B62"/>
    <w:rsid w:val="00130E0B"/>
    <w:rsid w:val="00131367"/>
    <w:rsid w:val="00131F0C"/>
    <w:rsid w:val="001324C6"/>
    <w:rsid w:val="0013289A"/>
    <w:rsid w:val="0013435F"/>
    <w:rsid w:val="00134523"/>
    <w:rsid w:val="0013480B"/>
    <w:rsid w:val="00135E76"/>
    <w:rsid w:val="00137CB1"/>
    <w:rsid w:val="0014244D"/>
    <w:rsid w:val="00142D31"/>
    <w:rsid w:val="00143938"/>
    <w:rsid w:val="0014544B"/>
    <w:rsid w:val="00146921"/>
    <w:rsid w:val="0014761C"/>
    <w:rsid w:val="00147BB0"/>
    <w:rsid w:val="00150294"/>
    <w:rsid w:val="00150334"/>
    <w:rsid w:val="00150D9B"/>
    <w:rsid w:val="0015135C"/>
    <w:rsid w:val="001520C5"/>
    <w:rsid w:val="0015272B"/>
    <w:rsid w:val="00153EF2"/>
    <w:rsid w:val="00154EDB"/>
    <w:rsid w:val="00155117"/>
    <w:rsid w:val="0015527F"/>
    <w:rsid w:val="001617D1"/>
    <w:rsid w:val="001620D3"/>
    <w:rsid w:val="001622AB"/>
    <w:rsid w:val="0016266C"/>
    <w:rsid w:val="00162796"/>
    <w:rsid w:val="0016352E"/>
    <w:rsid w:val="00163D13"/>
    <w:rsid w:val="001648E0"/>
    <w:rsid w:val="001703AD"/>
    <w:rsid w:val="001711B3"/>
    <w:rsid w:val="001727BD"/>
    <w:rsid w:val="00172A27"/>
    <w:rsid w:val="00173293"/>
    <w:rsid w:val="001734F2"/>
    <w:rsid w:val="00173C7F"/>
    <w:rsid w:val="00176A42"/>
    <w:rsid w:val="00176C51"/>
    <w:rsid w:val="00176C7D"/>
    <w:rsid w:val="00176C91"/>
    <w:rsid w:val="00177F2D"/>
    <w:rsid w:val="00181322"/>
    <w:rsid w:val="001816B3"/>
    <w:rsid w:val="00181FE5"/>
    <w:rsid w:val="0018243C"/>
    <w:rsid w:val="00183CE9"/>
    <w:rsid w:val="00184AB8"/>
    <w:rsid w:val="00184F2B"/>
    <w:rsid w:val="00185830"/>
    <w:rsid w:val="00185976"/>
    <w:rsid w:val="0018739C"/>
    <w:rsid w:val="0019127D"/>
    <w:rsid w:val="001929B2"/>
    <w:rsid w:val="00192BC4"/>
    <w:rsid w:val="00194269"/>
    <w:rsid w:val="0019541D"/>
    <w:rsid w:val="00195D1D"/>
    <w:rsid w:val="001969D0"/>
    <w:rsid w:val="001969EC"/>
    <w:rsid w:val="00197312"/>
    <w:rsid w:val="0019735C"/>
    <w:rsid w:val="00197C5A"/>
    <w:rsid w:val="001A2047"/>
    <w:rsid w:val="001A289F"/>
    <w:rsid w:val="001A29BB"/>
    <w:rsid w:val="001A2A1A"/>
    <w:rsid w:val="001A33BD"/>
    <w:rsid w:val="001A4680"/>
    <w:rsid w:val="001A46DB"/>
    <w:rsid w:val="001A5BDE"/>
    <w:rsid w:val="001A780B"/>
    <w:rsid w:val="001A7ABF"/>
    <w:rsid w:val="001B1C07"/>
    <w:rsid w:val="001B2B15"/>
    <w:rsid w:val="001B4DBA"/>
    <w:rsid w:val="001B559C"/>
    <w:rsid w:val="001B5900"/>
    <w:rsid w:val="001B6E86"/>
    <w:rsid w:val="001C0A2C"/>
    <w:rsid w:val="001C1655"/>
    <w:rsid w:val="001C18FE"/>
    <w:rsid w:val="001C25A6"/>
    <w:rsid w:val="001C26D0"/>
    <w:rsid w:val="001C41AA"/>
    <w:rsid w:val="001C69D2"/>
    <w:rsid w:val="001D22CE"/>
    <w:rsid w:val="001D24E5"/>
    <w:rsid w:val="001D33E9"/>
    <w:rsid w:val="001D358B"/>
    <w:rsid w:val="001D3B7C"/>
    <w:rsid w:val="001D3FFA"/>
    <w:rsid w:val="001D4203"/>
    <w:rsid w:val="001D4338"/>
    <w:rsid w:val="001D5695"/>
    <w:rsid w:val="001D6287"/>
    <w:rsid w:val="001D6566"/>
    <w:rsid w:val="001D68FF"/>
    <w:rsid w:val="001D76DE"/>
    <w:rsid w:val="001D7FAD"/>
    <w:rsid w:val="001E0E75"/>
    <w:rsid w:val="001E2676"/>
    <w:rsid w:val="001E2EE2"/>
    <w:rsid w:val="001E33EB"/>
    <w:rsid w:val="001E4212"/>
    <w:rsid w:val="001E4597"/>
    <w:rsid w:val="001E49F1"/>
    <w:rsid w:val="001E5A09"/>
    <w:rsid w:val="001E62C4"/>
    <w:rsid w:val="001E649D"/>
    <w:rsid w:val="001E652F"/>
    <w:rsid w:val="001E6780"/>
    <w:rsid w:val="001E743A"/>
    <w:rsid w:val="001E76B5"/>
    <w:rsid w:val="001E7ACF"/>
    <w:rsid w:val="001F19E3"/>
    <w:rsid w:val="001F1B32"/>
    <w:rsid w:val="001F33AF"/>
    <w:rsid w:val="001F5092"/>
    <w:rsid w:val="001F664B"/>
    <w:rsid w:val="00200AAC"/>
    <w:rsid w:val="00200FF1"/>
    <w:rsid w:val="0020131D"/>
    <w:rsid w:val="00201795"/>
    <w:rsid w:val="00201E5A"/>
    <w:rsid w:val="00201EB4"/>
    <w:rsid w:val="0020213B"/>
    <w:rsid w:val="00202772"/>
    <w:rsid w:val="0020366B"/>
    <w:rsid w:val="00204DFC"/>
    <w:rsid w:val="0020545B"/>
    <w:rsid w:val="00205F1F"/>
    <w:rsid w:val="00206690"/>
    <w:rsid w:val="00206F04"/>
    <w:rsid w:val="0020788A"/>
    <w:rsid w:val="00211225"/>
    <w:rsid w:val="00212676"/>
    <w:rsid w:val="00212F84"/>
    <w:rsid w:val="00213A91"/>
    <w:rsid w:val="00220864"/>
    <w:rsid w:val="002223D2"/>
    <w:rsid w:val="002224C2"/>
    <w:rsid w:val="002227DB"/>
    <w:rsid w:val="0022293C"/>
    <w:rsid w:val="00222BD7"/>
    <w:rsid w:val="00223A94"/>
    <w:rsid w:val="002264FA"/>
    <w:rsid w:val="00227231"/>
    <w:rsid w:val="002273AE"/>
    <w:rsid w:val="0022799E"/>
    <w:rsid w:val="002304AC"/>
    <w:rsid w:val="002304DF"/>
    <w:rsid w:val="00230EA6"/>
    <w:rsid w:val="00236A1B"/>
    <w:rsid w:val="00237169"/>
    <w:rsid w:val="002371D5"/>
    <w:rsid w:val="00240617"/>
    <w:rsid w:val="002426E0"/>
    <w:rsid w:val="00244A78"/>
    <w:rsid w:val="0024690C"/>
    <w:rsid w:val="00246ACF"/>
    <w:rsid w:val="00247270"/>
    <w:rsid w:val="002500A4"/>
    <w:rsid w:val="00250856"/>
    <w:rsid w:val="00250B2D"/>
    <w:rsid w:val="00250D3B"/>
    <w:rsid w:val="00251BE8"/>
    <w:rsid w:val="00253940"/>
    <w:rsid w:val="00253BF6"/>
    <w:rsid w:val="0025454A"/>
    <w:rsid w:val="0025599E"/>
    <w:rsid w:val="00255A64"/>
    <w:rsid w:val="002570C2"/>
    <w:rsid w:val="00257BA8"/>
    <w:rsid w:val="00263CB8"/>
    <w:rsid w:val="002643D7"/>
    <w:rsid w:val="0026497D"/>
    <w:rsid w:val="00265FB7"/>
    <w:rsid w:val="00266C0E"/>
    <w:rsid w:val="002677BD"/>
    <w:rsid w:val="0026782A"/>
    <w:rsid w:val="00267A5E"/>
    <w:rsid w:val="00267F64"/>
    <w:rsid w:val="00270793"/>
    <w:rsid w:val="002713F9"/>
    <w:rsid w:val="002717BB"/>
    <w:rsid w:val="002717EF"/>
    <w:rsid w:val="00271917"/>
    <w:rsid w:val="00271C0A"/>
    <w:rsid w:val="00272E25"/>
    <w:rsid w:val="00273052"/>
    <w:rsid w:val="00274682"/>
    <w:rsid w:val="00275168"/>
    <w:rsid w:val="00276271"/>
    <w:rsid w:val="002770ED"/>
    <w:rsid w:val="0028076A"/>
    <w:rsid w:val="002807AC"/>
    <w:rsid w:val="0028097A"/>
    <w:rsid w:val="00281886"/>
    <w:rsid w:val="0028300D"/>
    <w:rsid w:val="00283F20"/>
    <w:rsid w:val="00284215"/>
    <w:rsid w:val="00284239"/>
    <w:rsid w:val="00284D3E"/>
    <w:rsid w:val="002859B2"/>
    <w:rsid w:val="00286956"/>
    <w:rsid w:val="00286C59"/>
    <w:rsid w:val="002878AA"/>
    <w:rsid w:val="0029063D"/>
    <w:rsid w:val="00290E4F"/>
    <w:rsid w:val="00291043"/>
    <w:rsid w:val="002924A7"/>
    <w:rsid w:val="00292763"/>
    <w:rsid w:val="0029487B"/>
    <w:rsid w:val="00295951"/>
    <w:rsid w:val="00295D29"/>
    <w:rsid w:val="002971EC"/>
    <w:rsid w:val="00297206"/>
    <w:rsid w:val="002A0410"/>
    <w:rsid w:val="002A16F5"/>
    <w:rsid w:val="002A2140"/>
    <w:rsid w:val="002A33A2"/>
    <w:rsid w:val="002A34CC"/>
    <w:rsid w:val="002A35F0"/>
    <w:rsid w:val="002A3B62"/>
    <w:rsid w:val="002A4CD3"/>
    <w:rsid w:val="002A5C2B"/>
    <w:rsid w:val="002B150E"/>
    <w:rsid w:val="002B1B9B"/>
    <w:rsid w:val="002B2AA9"/>
    <w:rsid w:val="002B2D96"/>
    <w:rsid w:val="002B72AA"/>
    <w:rsid w:val="002B7699"/>
    <w:rsid w:val="002C07C5"/>
    <w:rsid w:val="002C262A"/>
    <w:rsid w:val="002C3B6C"/>
    <w:rsid w:val="002C4752"/>
    <w:rsid w:val="002C51FE"/>
    <w:rsid w:val="002C5AA6"/>
    <w:rsid w:val="002C637E"/>
    <w:rsid w:val="002D06F8"/>
    <w:rsid w:val="002D0761"/>
    <w:rsid w:val="002D0EE4"/>
    <w:rsid w:val="002D10E5"/>
    <w:rsid w:val="002D2586"/>
    <w:rsid w:val="002D3246"/>
    <w:rsid w:val="002D39AA"/>
    <w:rsid w:val="002D4E5D"/>
    <w:rsid w:val="002D59D3"/>
    <w:rsid w:val="002D61CC"/>
    <w:rsid w:val="002D68C6"/>
    <w:rsid w:val="002D6C8E"/>
    <w:rsid w:val="002D7D2E"/>
    <w:rsid w:val="002D7FCC"/>
    <w:rsid w:val="002E07E5"/>
    <w:rsid w:val="002E437C"/>
    <w:rsid w:val="002E4EE7"/>
    <w:rsid w:val="002E54DF"/>
    <w:rsid w:val="002E6FA8"/>
    <w:rsid w:val="002E6FB0"/>
    <w:rsid w:val="002F2A25"/>
    <w:rsid w:val="002F314A"/>
    <w:rsid w:val="002F3717"/>
    <w:rsid w:val="002F44FA"/>
    <w:rsid w:val="002F4839"/>
    <w:rsid w:val="002F4CB0"/>
    <w:rsid w:val="002F6545"/>
    <w:rsid w:val="002F780B"/>
    <w:rsid w:val="00300405"/>
    <w:rsid w:val="00302541"/>
    <w:rsid w:val="00302DE4"/>
    <w:rsid w:val="003031C0"/>
    <w:rsid w:val="00304822"/>
    <w:rsid w:val="00305FF2"/>
    <w:rsid w:val="00306F50"/>
    <w:rsid w:val="00307938"/>
    <w:rsid w:val="00310B53"/>
    <w:rsid w:val="00311415"/>
    <w:rsid w:val="00311D66"/>
    <w:rsid w:val="00312537"/>
    <w:rsid w:val="00312C39"/>
    <w:rsid w:val="00313D48"/>
    <w:rsid w:val="003140CF"/>
    <w:rsid w:val="003179D6"/>
    <w:rsid w:val="00321296"/>
    <w:rsid w:val="00321D1F"/>
    <w:rsid w:val="003221B1"/>
    <w:rsid w:val="00324CB1"/>
    <w:rsid w:val="00324ED2"/>
    <w:rsid w:val="0032560D"/>
    <w:rsid w:val="00326404"/>
    <w:rsid w:val="003264CA"/>
    <w:rsid w:val="00326F32"/>
    <w:rsid w:val="00326FBF"/>
    <w:rsid w:val="00327986"/>
    <w:rsid w:val="00327C40"/>
    <w:rsid w:val="00327DDC"/>
    <w:rsid w:val="003302A7"/>
    <w:rsid w:val="003306C2"/>
    <w:rsid w:val="00331123"/>
    <w:rsid w:val="0033147B"/>
    <w:rsid w:val="0033170B"/>
    <w:rsid w:val="00331C44"/>
    <w:rsid w:val="003331BD"/>
    <w:rsid w:val="003331CC"/>
    <w:rsid w:val="0033362E"/>
    <w:rsid w:val="0033382C"/>
    <w:rsid w:val="00333A2E"/>
    <w:rsid w:val="00333BA5"/>
    <w:rsid w:val="00334679"/>
    <w:rsid w:val="003347A3"/>
    <w:rsid w:val="00334E21"/>
    <w:rsid w:val="00334E74"/>
    <w:rsid w:val="00335BEC"/>
    <w:rsid w:val="00335F4F"/>
    <w:rsid w:val="0033602C"/>
    <w:rsid w:val="0033616A"/>
    <w:rsid w:val="0033647F"/>
    <w:rsid w:val="0033782F"/>
    <w:rsid w:val="00337FA5"/>
    <w:rsid w:val="003416D9"/>
    <w:rsid w:val="003422B7"/>
    <w:rsid w:val="00345145"/>
    <w:rsid w:val="00345C20"/>
    <w:rsid w:val="00346FFB"/>
    <w:rsid w:val="00347BF9"/>
    <w:rsid w:val="00350BC4"/>
    <w:rsid w:val="003518C1"/>
    <w:rsid w:val="00352568"/>
    <w:rsid w:val="0035263A"/>
    <w:rsid w:val="0035368C"/>
    <w:rsid w:val="00354EF5"/>
    <w:rsid w:val="003563CE"/>
    <w:rsid w:val="003563DC"/>
    <w:rsid w:val="003572CC"/>
    <w:rsid w:val="00360031"/>
    <w:rsid w:val="00360AB2"/>
    <w:rsid w:val="00361E22"/>
    <w:rsid w:val="00362BD0"/>
    <w:rsid w:val="00362C57"/>
    <w:rsid w:val="003655A1"/>
    <w:rsid w:val="00366236"/>
    <w:rsid w:val="003662E3"/>
    <w:rsid w:val="00367498"/>
    <w:rsid w:val="00370342"/>
    <w:rsid w:val="003704AE"/>
    <w:rsid w:val="00371D41"/>
    <w:rsid w:val="00373512"/>
    <w:rsid w:val="003753EB"/>
    <w:rsid w:val="003754CC"/>
    <w:rsid w:val="00375B45"/>
    <w:rsid w:val="0037704F"/>
    <w:rsid w:val="00380738"/>
    <w:rsid w:val="00381912"/>
    <w:rsid w:val="00384CDB"/>
    <w:rsid w:val="003850D2"/>
    <w:rsid w:val="003852FF"/>
    <w:rsid w:val="00385E98"/>
    <w:rsid w:val="00387E4E"/>
    <w:rsid w:val="0039055D"/>
    <w:rsid w:val="003912CE"/>
    <w:rsid w:val="00392CB2"/>
    <w:rsid w:val="00393D0F"/>
    <w:rsid w:val="00395C77"/>
    <w:rsid w:val="00396518"/>
    <w:rsid w:val="00396BD6"/>
    <w:rsid w:val="0039725F"/>
    <w:rsid w:val="003975EE"/>
    <w:rsid w:val="003A050F"/>
    <w:rsid w:val="003A08C3"/>
    <w:rsid w:val="003A08D8"/>
    <w:rsid w:val="003A2579"/>
    <w:rsid w:val="003A30A7"/>
    <w:rsid w:val="003A3A10"/>
    <w:rsid w:val="003A4178"/>
    <w:rsid w:val="003A44C0"/>
    <w:rsid w:val="003A4EB5"/>
    <w:rsid w:val="003A636C"/>
    <w:rsid w:val="003A685B"/>
    <w:rsid w:val="003A7F93"/>
    <w:rsid w:val="003B16B4"/>
    <w:rsid w:val="003B20E7"/>
    <w:rsid w:val="003B26AB"/>
    <w:rsid w:val="003B37E2"/>
    <w:rsid w:val="003B4AA7"/>
    <w:rsid w:val="003B51F8"/>
    <w:rsid w:val="003B75C1"/>
    <w:rsid w:val="003C15CB"/>
    <w:rsid w:val="003C3CE7"/>
    <w:rsid w:val="003C4432"/>
    <w:rsid w:val="003C63C3"/>
    <w:rsid w:val="003C64BD"/>
    <w:rsid w:val="003C6B05"/>
    <w:rsid w:val="003C6F0A"/>
    <w:rsid w:val="003C72F2"/>
    <w:rsid w:val="003C7650"/>
    <w:rsid w:val="003C7B64"/>
    <w:rsid w:val="003C7B69"/>
    <w:rsid w:val="003D0178"/>
    <w:rsid w:val="003D1AAD"/>
    <w:rsid w:val="003D1CD9"/>
    <w:rsid w:val="003D3066"/>
    <w:rsid w:val="003D3355"/>
    <w:rsid w:val="003D39AA"/>
    <w:rsid w:val="003D5166"/>
    <w:rsid w:val="003D74F0"/>
    <w:rsid w:val="003E0543"/>
    <w:rsid w:val="003E0C97"/>
    <w:rsid w:val="003E1373"/>
    <w:rsid w:val="003E1E81"/>
    <w:rsid w:val="003E227A"/>
    <w:rsid w:val="003E3642"/>
    <w:rsid w:val="003E36B5"/>
    <w:rsid w:val="003E3AE7"/>
    <w:rsid w:val="003E3C44"/>
    <w:rsid w:val="003E50E4"/>
    <w:rsid w:val="003E5431"/>
    <w:rsid w:val="003E62CC"/>
    <w:rsid w:val="003E6952"/>
    <w:rsid w:val="003E7577"/>
    <w:rsid w:val="003E7C91"/>
    <w:rsid w:val="003F15EA"/>
    <w:rsid w:val="003F2839"/>
    <w:rsid w:val="003F37D3"/>
    <w:rsid w:val="003F4A48"/>
    <w:rsid w:val="003F4B00"/>
    <w:rsid w:val="003F5198"/>
    <w:rsid w:val="003F5653"/>
    <w:rsid w:val="003F56E3"/>
    <w:rsid w:val="003F5DEA"/>
    <w:rsid w:val="003F5F86"/>
    <w:rsid w:val="003F6857"/>
    <w:rsid w:val="003F7C76"/>
    <w:rsid w:val="00400D30"/>
    <w:rsid w:val="00400ED4"/>
    <w:rsid w:val="004011B2"/>
    <w:rsid w:val="00402049"/>
    <w:rsid w:val="0040214E"/>
    <w:rsid w:val="00402EE3"/>
    <w:rsid w:val="00405074"/>
    <w:rsid w:val="0040513F"/>
    <w:rsid w:val="004073ED"/>
    <w:rsid w:val="00407475"/>
    <w:rsid w:val="00407AD7"/>
    <w:rsid w:val="0041231D"/>
    <w:rsid w:val="00415F5A"/>
    <w:rsid w:val="00417044"/>
    <w:rsid w:val="00417C22"/>
    <w:rsid w:val="00417F46"/>
    <w:rsid w:val="0042088B"/>
    <w:rsid w:val="00422621"/>
    <w:rsid w:val="00423DCD"/>
    <w:rsid w:val="00424809"/>
    <w:rsid w:val="00424A5A"/>
    <w:rsid w:val="00425400"/>
    <w:rsid w:val="00427F88"/>
    <w:rsid w:val="004307E9"/>
    <w:rsid w:val="00432562"/>
    <w:rsid w:val="00432C6C"/>
    <w:rsid w:val="0043318D"/>
    <w:rsid w:val="004339DA"/>
    <w:rsid w:val="0043520B"/>
    <w:rsid w:val="00435402"/>
    <w:rsid w:val="00435838"/>
    <w:rsid w:val="00437EC9"/>
    <w:rsid w:val="00440D4D"/>
    <w:rsid w:val="004423BD"/>
    <w:rsid w:val="00442610"/>
    <w:rsid w:val="004434EE"/>
    <w:rsid w:val="004438E9"/>
    <w:rsid w:val="004446AC"/>
    <w:rsid w:val="0044484F"/>
    <w:rsid w:val="00445C8B"/>
    <w:rsid w:val="00445EB1"/>
    <w:rsid w:val="004473AB"/>
    <w:rsid w:val="00447DDF"/>
    <w:rsid w:val="0045109D"/>
    <w:rsid w:val="00451770"/>
    <w:rsid w:val="00451896"/>
    <w:rsid w:val="00452391"/>
    <w:rsid w:val="004528EC"/>
    <w:rsid w:val="00452E22"/>
    <w:rsid w:val="00454C1A"/>
    <w:rsid w:val="00457270"/>
    <w:rsid w:val="00457C4C"/>
    <w:rsid w:val="004600C4"/>
    <w:rsid w:val="00461BF3"/>
    <w:rsid w:val="00461ED4"/>
    <w:rsid w:val="0046255E"/>
    <w:rsid w:val="0046282E"/>
    <w:rsid w:val="0046332F"/>
    <w:rsid w:val="0046354D"/>
    <w:rsid w:val="004652CB"/>
    <w:rsid w:val="00465514"/>
    <w:rsid w:val="00466298"/>
    <w:rsid w:val="00466451"/>
    <w:rsid w:val="004670CC"/>
    <w:rsid w:val="00467A7F"/>
    <w:rsid w:val="004702C5"/>
    <w:rsid w:val="00470ACF"/>
    <w:rsid w:val="00470B1D"/>
    <w:rsid w:val="0047276C"/>
    <w:rsid w:val="00472A81"/>
    <w:rsid w:val="00472FBF"/>
    <w:rsid w:val="004739C3"/>
    <w:rsid w:val="00474205"/>
    <w:rsid w:val="004770AD"/>
    <w:rsid w:val="00480598"/>
    <w:rsid w:val="00480846"/>
    <w:rsid w:val="00481D1E"/>
    <w:rsid w:val="004836A3"/>
    <w:rsid w:val="00484704"/>
    <w:rsid w:val="00484B5A"/>
    <w:rsid w:val="00484FE8"/>
    <w:rsid w:val="0048515F"/>
    <w:rsid w:val="0048798B"/>
    <w:rsid w:val="00487A91"/>
    <w:rsid w:val="00487F67"/>
    <w:rsid w:val="00490D3E"/>
    <w:rsid w:val="0049152E"/>
    <w:rsid w:val="004926AB"/>
    <w:rsid w:val="00492AA2"/>
    <w:rsid w:val="0049336B"/>
    <w:rsid w:val="00493556"/>
    <w:rsid w:val="00493D60"/>
    <w:rsid w:val="00497542"/>
    <w:rsid w:val="004977F8"/>
    <w:rsid w:val="00497829"/>
    <w:rsid w:val="00497C89"/>
    <w:rsid w:val="00497E92"/>
    <w:rsid w:val="00497F72"/>
    <w:rsid w:val="004A02E6"/>
    <w:rsid w:val="004A4789"/>
    <w:rsid w:val="004A52B2"/>
    <w:rsid w:val="004A71A2"/>
    <w:rsid w:val="004A71B2"/>
    <w:rsid w:val="004B0871"/>
    <w:rsid w:val="004B24BD"/>
    <w:rsid w:val="004B283B"/>
    <w:rsid w:val="004B4D69"/>
    <w:rsid w:val="004B5432"/>
    <w:rsid w:val="004B72A8"/>
    <w:rsid w:val="004B7595"/>
    <w:rsid w:val="004B75F2"/>
    <w:rsid w:val="004B780B"/>
    <w:rsid w:val="004B78DD"/>
    <w:rsid w:val="004B7F71"/>
    <w:rsid w:val="004C0155"/>
    <w:rsid w:val="004C05D0"/>
    <w:rsid w:val="004C1A9A"/>
    <w:rsid w:val="004C1E89"/>
    <w:rsid w:val="004C27C6"/>
    <w:rsid w:val="004C3548"/>
    <w:rsid w:val="004C3802"/>
    <w:rsid w:val="004C3D45"/>
    <w:rsid w:val="004C51A6"/>
    <w:rsid w:val="004C5265"/>
    <w:rsid w:val="004C5B50"/>
    <w:rsid w:val="004C5B7C"/>
    <w:rsid w:val="004D117C"/>
    <w:rsid w:val="004D21BE"/>
    <w:rsid w:val="004D3E49"/>
    <w:rsid w:val="004D41BC"/>
    <w:rsid w:val="004D4F17"/>
    <w:rsid w:val="004D71E2"/>
    <w:rsid w:val="004E0A71"/>
    <w:rsid w:val="004E1300"/>
    <w:rsid w:val="004E133E"/>
    <w:rsid w:val="004E18C6"/>
    <w:rsid w:val="004E1BB7"/>
    <w:rsid w:val="004E1E5B"/>
    <w:rsid w:val="004E288A"/>
    <w:rsid w:val="004E3DA7"/>
    <w:rsid w:val="004E4103"/>
    <w:rsid w:val="004E58EE"/>
    <w:rsid w:val="004E6BF0"/>
    <w:rsid w:val="004E7097"/>
    <w:rsid w:val="004E743D"/>
    <w:rsid w:val="004E78D9"/>
    <w:rsid w:val="004E7A6E"/>
    <w:rsid w:val="004F04A9"/>
    <w:rsid w:val="004F0D00"/>
    <w:rsid w:val="004F12BB"/>
    <w:rsid w:val="004F3388"/>
    <w:rsid w:val="004F33D3"/>
    <w:rsid w:val="004F6C5F"/>
    <w:rsid w:val="004F6DE7"/>
    <w:rsid w:val="00501BB2"/>
    <w:rsid w:val="00502900"/>
    <w:rsid w:val="005041B6"/>
    <w:rsid w:val="0050473D"/>
    <w:rsid w:val="00505A99"/>
    <w:rsid w:val="00506A69"/>
    <w:rsid w:val="0051048F"/>
    <w:rsid w:val="00510F72"/>
    <w:rsid w:val="00511029"/>
    <w:rsid w:val="005123DD"/>
    <w:rsid w:val="005123DF"/>
    <w:rsid w:val="005125AE"/>
    <w:rsid w:val="00512E5C"/>
    <w:rsid w:val="00513D7C"/>
    <w:rsid w:val="005144F9"/>
    <w:rsid w:val="0051593F"/>
    <w:rsid w:val="00516DE0"/>
    <w:rsid w:val="00516FA5"/>
    <w:rsid w:val="00517AFC"/>
    <w:rsid w:val="0052308E"/>
    <w:rsid w:val="0052346E"/>
    <w:rsid w:val="00523749"/>
    <w:rsid w:val="00524C25"/>
    <w:rsid w:val="00525567"/>
    <w:rsid w:val="005256CE"/>
    <w:rsid w:val="00525E68"/>
    <w:rsid w:val="00530233"/>
    <w:rsid w:val="0053169F"/>
    <w:rsid w:val="00531B84"/>
    <w:rsid w:val="005346B9"/>
    <w:rsid w:val="00534A83"/>
    <w:rsid w:val="00540E1D"/>
    <w:rsid w:val="00541A90"/>
    <w:rsid w:val="0054230F"/>
    <w:rsid w:val="0054320A"/>
    <w:rsid w:val="005442E0"/>
    <w:rsid w:val="00544EDC"/>
    <w:rsid w:val="00545E0E"/>
    <w:rsid w:val="005461A3"/>
    <w:rsid w:val="00546FF6"/>
    <w:rsid w:val="00547F49"/>
    <w:rsid w:val="00550F50"/>
    <w:rsid w:val="005515C0"/>
    <w:rsid w:val="005525BE"/>
    <w:rsid w:val="00552973"/>
    <w:rsid w:val="00554194"/>
    <w:rsid w:val="00554693"/>
    <w:rsid w:val="00554E13"/>
    <w:rsid w:val="00561479"/>
    <w:rsid w:val="0056202B"/>
    <w:rsid w:val="005639FE"/>
    <w:rsid w:val="005665E2"/>
    <w:rsid w:val="00571EAE"/>
    <w:rsid w:val="00572933"/>
    <w:rsid w:val="00574C5F"/>
    <w:rsid w:val="00575C7F"/>
    <w:rsid w:val="00581DA7"/>
    <w:rsid w:val="00582896"/>
    <w:rsid w:val="005834AD"/>
    <w:rsid w:val="005835B9"/>
    <w:rsid w:val="005852DA"/>
    <w:rsid w:val="005903D4"/>
    <w:rsid w:val="005919FE"/>
    <w:rsid w:val="00594B71"/>
    <w:rsid w:val="005A040B"/>
    <w:rsid w:val="005A398E"/>
    <w:rsid w:val="005A46DF"/>
    <w:rsid w:val="005A4F58"/>
    <w:rsid w:val="005A5FF9"/>
    <w:rsid w:val="005A6001"/>
    <w:rsid w:val="005A60F7"/>
    <w:rsid w:val="005A6701"/>
    <w:rsid w:val="005A68D6"/>
    <w:rsid w:val="005A6FE7"/>
    <w:rsid w:val="005A72DC"/>
    <w:rsid w:val="005B1D81"/>
    <w:rsid w:val="005B307A"/>
    <w:rsid w:val="005B4D45"/>
    <w:rsid w:val="005B5EEC"/>
    <w:rsid w:val="005B7294"/>
    <w:rsid w:val="005B7E00"/>
    <w:rsid w:val="005B7E9B"/>
    <w:rsid w:val="005C037F"/>
    <w:rsid w:val="005C053F"/>
    <w:rsid w:val="005C1D54"/>
    <w:rsid w:val="005C34DB"/>
    <w:rsid w:val="005C3AE7"/>
    <w:rsid w:val="005C4911"/>
    <w:rsid w:val="005C6AF1"/>
    <w:rsid w:val="005C6C33"/>
    <w:rsid w:val="005D02B6"/>
    <w:rsid w:val="005D1959"/>
    <w:rsid w:val="005D34A1"/>
    <w:rsid w:val="005D409C"/>
    <w:rsid w:val="005D4AF4"/>
    <w:rsid w:val="005D4F1D"/>
    <w:rsid w:val="005D5147"/>
    <w:rsid w:val="005D5E78"/>
    <w:rsid w:val="005D6F1B"/>
    <w:rsid w:val="005D71C9"/>
    <w:rsid w:val="005D7361"/>
    <w:rsid w:val="005E04C4"/>
    <w:rsid w:val="005E0B8C"/>
    <w:rsid w:val="005E1538"/>
    <w:rsid w:val="005E1DE7"/>
    <w:rsid w:val="005E2472"/>
    <w:rsid w:val="005E2A10"/>
    <w:rsid w:val="005E2B82"/>
    <w:rsid w:val="005E4668"/>
    <w:rsid w:val="005E4C05"/>
    <w:rsid w:val="005E5B7B"/>
    <w:rsid w:val="005E7BA8"/>
    <w:rsid w:val="005E7D11"/>
    <w:rsid w:val="005E7D41"/>
    <w:rsid w:val="005F0919"/>
    <w:rsid w:val="005F1C2C"/>
    <w:rsid w:val="005F25EE"/>
    <w:rsid w:val="005F2DF1"/>
    <w:rsid w:val="005F37B8"/>
    <w:rsid w:val="005F5BFF"/>
    <w:rsid w:val="005F5C53"/>
    <w:rsid w:val="005F6348"/>
    <w:rsid w:val="005F664F"/>
    <w:rsid w:val="005F6DD2"/>
    <w:rsid w:val="005F725B"/>
    <w:rsid w:val="00600041"/>
    <w:rsid w:val="006003FF"/>
    <w:rsid w:val="006007BA"/>
    <w:rsid w:val="0060139D"/>
    <w:rsid w:val="006013DD"/>
    <w:rsid w:val="006020F6"/>
    <w:rsid w:val="006071FA"/>
    <w:rsid w:val="006078F9"/>
    <w:rsid w:val="0061070E"/>
    <w:rsid w:val="00610835"/>
    <w:rsid w:val="00610A2C"/>
    <w:rsid w:val="0061188C"/>
    <w:rsid w:val="00612B72"/>
    <w:rsid w:val="006138A0"/>
    <w:rsid w:val="00615717"/>
    <w:rsid w:val="00615DB3"/>
    <w:rsid w:val="006167B1"/>
    <w:rsid w:val="0061733F"/>
    <w:rsid w:val="00617588"/>
    <w:rsid w:val="00617BA4"/>
    <w:rsid w:val="00617FE5"/>
    <w:rsid w:val="00620180"/>
    <w:rsid w:val="006212CC"/>
    <w:rsid w:val="00621B11"/>
    <w:rsid w:val="00621E5A"/>
    <w:rsid w:val="0062230D"/>
    <w:rsid w:val="006223F7"/>
    <w:rsid w:val="00623919"/>
    <w:rsid w:val="00623995"/>
    <w:rsid w:val="00624DCF"/>
    <w:rsid w:val="00625DCE"/>
    <w:rsid w:val="00627DEB"/>
    <w:rsid w:val="0063039F"/>
    <w:rsid w:val="00632221"/>
    <w:rsid w:val="00633214"/>
    <w:rsid w:val="00633503"/>
    <w:rsid w:val="00633655"/>
    <w:rsid w:val="00633F28"/>
    <w:rsid w:val="00634028"/>
    <w:rsid w:val="00634061"/>
    <w:rsid w:val="00634B48"/>
    <w:rsid w:val="00634D44"/>
    <w:rsid w:val="00634DB2"/>
    <w:rsid w:val="00635C7C"/>
    <w:rsid w:val="00635CA2"/>
    <w:rsid w:val="0063646D"/>
    <w:rsid w:val="00637C29"/>
    <w:rsid w:val="00637FA0"/>
    <w:rsid w:val="0064208A"/>
    <w:rsid w:val="006428D2"/>
    <w:rsid w:val="00642F21"/>
    <w:rsid w:val="00645839"/>
    <w:rsid w:val="0064734C"/>
    <w:rsid w:val="00647750"/>
    <w:rsid w:val="00651972"/>
    <w:rsid w:val="00654047"/>
    <w:rsid w:val="006548AA"/>
    <w:rsid w:val="00654F43"/>
    <w:rsid w:val="0065631E"/>
    <w:rsid w:val="006565B6"/>
    <w:rsid w:val="00656A4B"/>
    <w:rsid w:val="006607F0"/>
    <w:rsid w:val="0066245F"/>
    <w:rsid w:val="00662815"/>
    <w:rsid w:val="00662877"/>
    <w:rsid w:val="006637DD"/>
    <w:rsid w:val="00663CAF"/>
    <w:rsid w:val="00663FB9"/>
    <w:rsid w:val="006647A8"/>
    <w:rsid w:val="00664959"/>
    <w:rsid w:val="00665328"/>
    <w:rsid w:val="0066624A"/>
    <w:rsid w:val="00666736"/>
    <w:rsid w:val="00667767"/>
    <w:rsid w:val="00670E9D"/>
    <w:rsid w:val="00670FA7"/>
    <w:rsid w:val="00671F9A"/>
    <w:rsid w:val="006732B3"/>
    <w:rsid w:val="00673792"/>
    <w:rsid w:val="00673827"/>
    <w:rsid w:val="006740A9"/>
    <w:rsid w:val="00674B37"/>
    <w:rsid w:val="00675297"/>
    <w:rsid w:val="00677377"/>
    <w:rsid w:val="00677450"/>
    <w:rsid w:val="00680173"/>
    <w:rsid w:val="006815E6"/>
    <w:rsid w:val="00682740"/>
    <w:rsid w:val="00682F28"/>
    <w:rsid w:val="00683855"/>
    <w:rsid w:val="006848A6"/>
    <w:rsid w:val="00684AA8"/>
    <w:rsid w:val="006862A7"/>
    <w:rsid w:val="006870AC"/>
    <w:rsid w:val="00687741"/>
    <w:rsid w:val="006902BE"/>
    <w:rsid w:val="00691365"/>
    <w:rsid w:val="00693422"/>
    <w:rsid w:val="006937C0"/>
    <w:rsid w:val="00693C3E"/>
    <w:rsid w:val="00694517"/>
    <w:rsid w:val="00694AF2"/>
    <w:rsid w:val="00694CC9"/>
    <w:rsid w:val="006A1A4F"/>
    <w:rsid w:val="006A3434"/>
    <w:rsid w:val="006A3713"/>
    <w:rsid w:val="006A4B68"/>
    <w:rsid w:val="006A4C21"/>
    <w:rsid w:val="006A61CB"/>
    <w:rsid w:val="006A652C"/>
    <w:rsid w:val="006A6BA1"/>
    <w:rsid w:val="006B1C14"/>
    <w:rsid w:val="006B2767"/>
    <w:rsid w:val="006B4666"/>
    <w:rsid w:val="006B5CB2"/>
    <w:rsid w:val="006B7F5C"/>
    <w:rsid w:val="006C1FD1"/>
    <w:rsid w:val="006C24BF"/>
    <w:rsid w:val="006C3420"/>
    <w:rsid w:val="006C4104"/>
    <w:rsid w:val="006C44C4"/>
    <w:rsid w:val="006C58D3"/>
    <w:rsid w:val="006C5F93"/>
    <w:rsid w:val="006C6F72"/>
    <w:rsid w:val="006C72C8"/>
    <w:rsid w:val="006D03D3"/>
    <w:rsid w:val="006D0C5A"/>
    <w:rsid w:val="006D1078"/>
    <w:rsid w:val="006D12BC"/>
    <w:rsid w:val="006D3A34"/>
    <w:rsid w:val="006D5165"/>
    <w:rsid w:val="006D6AB2"/>
    <w:rsid w:val="006D7CAA"/>
    <w:rsid w:val="006E1377"/>
    <w:rsid w:val="006E14C6"/>
    <w:rsid w:val="006E1C1E"/>
    <w:rsid w:val="006E2C6A"/>
    <w:rsid w:val="006E383C"/>
    <w:rsid w:val="006E4039"/>
    <w:rsid w:val="006E454B"/>
    <w:rsid w:val="006E4872"/>
    <w:rsid w:val="006E4EBD"/>
    <w:rsid w:val="006E5462"/>
    <w:rsid w:val="006F0104"/>
    <w:rsid w:val="006F1956"/>
    <w:rsid w:val="006F24C1"/>
    <w:rsid w:val="006F2611"/>
    <w:rsid w:val="006F3E8D"/>
    <w:rsid w:val="006F48F1"/>
    <w:rsid w:val="006F4CA9"/>
    <w:rsid w:val="006F4F6A"/>
    <w:rsid w:val="006F61D1"/>
    <w:rsid w:val="006F68F3"/>
    <w:rsid w:val="006F7B03"/>
    <w:rsid w:val="00703299"/>
    <w:rsid w:val="007032FB"/>
    <w:rsid w:val="00704629"/>
    <w:rsid w:val="00704BED"/>
    <w:rsid w:val="0070684D"/>
    <w:rsid w:val="00706DD3"/>
    <w:rsid w:val="007076C7"/>
    <w:rsid w:val="0071359E"/>
    <w:rsid w:val="007208C2"/>
    <w:rsid w:val="00720A6B"/>
    <w:rsid w:val="00721BEE"/>
    <w:rsid w:val="00722D2D"/>
    <w:rsid w:val="007240B9"/>
    <w:rsid w:val="0072418E"/>
    <w:rsid w:val="00724D05"/>
    <w:rsid w:val="00726014"/>
    <w:rsid w:val="00730754"/>
    <w:rsid w:val="00730B72"/>
    <w:rsid w:val="007318F8"/>
    <w:rsid w:val="00731970"/>
    <w:rsid w:val="00732C94"/>
    <w:rsid w:val="007333ED"/>
    <w:rsid w:val="007349DB"/>
    <w:rsid w:val="00734E27"/>
    <w:rsid w:val="00735E8B"/>
    <w:rsid w:val="00735FC0"/>
    <w:rsid w:val="00737E13"/>
    <w:rsid w:val="00737E86"/>
    <w:rsid w:val="0074112D"/>
    <w:rsid w:val="00741F0C"/>
    <w:rsid w:val="007423C3"/>
    <w:rsid w:val="007425AB"/>
    <w:rsid w:val="007425C5"/>
    <w:rsid w:val="00742A3C"/>
    <w:rsid w:val="0074430C"/>
    <w:rsid w:val="0074518A"/>
    <w:rsid w:val="0074533F"/>
    <w:rsid w:val="00745A05"/>
    <w:rsid w:val="0074658F"/>
    <w:rsid w:val="00746A07"/>
    <w:rsid w:val="00747EDB"/>
    <w:rsid w:val="00747FEE"/>
    <w:rsid w:val="0075020C"/>
    <w:rsid w:val="00751A7C"/>
    <w:rsid w:val="00751D27"/>
    <w:rsid w:val="00751ED8"/>
    <w:rsid w:val="00752E8B"/>
    <w:rsid w:val="00753C95"/>
    <w:rsid w:val="00754A57"/>
    <w:rsid w:val="00755838"/>
    <w:rsid w:val="00756DB3"/>
    <w:rsid w:val="0075776F"/>
    <w:rsid w:val="00760526"/>
    <w:rsid w:val="0076181E"/>
    <w:rsid w:val="00764053"/>
    <w:rsid w:val="00764532"/>
    <w:rsid w:val="0076664F"/>
    <w:rsid w:val="0077051F"/>
    <w:rsid w:val="007722CE"/>
    <w:rsid w:val="00772917"/>
    <w:rsid w:val="00774CCB"/>
    <w:rsid w:val="00776290"/>
    <w:rsid w:val="00777651"/>
    <w:rsid w:val="007812B9"/>
    <w:rsid w:val="00781610"/>
    <w:rsid w:val="00781CAC"/>
    <w:rsid w:val="00781F28"/>
    <w:rsid w:val="00782CC8"/>
    <w:rsid w:val="00783BAE"/>
    <w:rsid w:val="00785B64"/>
    <w:rsid w:val="00785FE1"/>
    <w:rsid w:val="0078643D"/>
    <w:rsid w:val="00786C41"/>
    <w:rsid w:val="0078781C"/>
    <w:rsid w:val="00790960"/>
    <w:rsid w:val="00790BEF"/>
    <w:rsid w:val="00790FBF"/>
    <w:rsid w:val="00791A35"/>
    <w:rsid w:val="007928C9"/>
    <w:rsid w:val="00792A7E"/>
    <w:rsid w:val="00793891"/>
    <w:rsid w:val="00793FE2"/>
    <w:rsid w:val="0079446C"/>
    <w:rsid w:val="007974C0"/>
    <w:rsid w:val="00797D74"/>
    <w:rsid w:val="007A01CB"/>
    <w:rsid w:val="007A12B2"/>
    <w:rsid w:val="007A1F14"/>
    <w:rsid w:val="007A24EB"/>
    <w:rsid w:val="007A4D50"/>
    <w:rsid w:val="007A5C08"/>
    <w:rsid w:val="007A5C5E"/>
    <w:rsid w:val="007A6657"/>
    <w:rsid w:val="007A70C0"/>
    <w:rsid w:val="007A77D8"/>
    <w:rsid w:val="007B011C"/>
    <w:rsid w:val="007B0BDC"/>
    <w:rsid w:val="007B2E7F"/>
    <w:rsid w:val="007B3AB8"/>
    <w:rsid w:val="007B4028"/>
    <w:rsid w:val="007B4614"/>
    <w:rsid w:val="007B5249"/>
    <w:rsid w:val="007B5CB1"/>
    <w:rsid w:val="007B672C"/>
    <w:rsid w:val="007B6B31"/>
    <w:rsid w:val="007C1389"/>
    <w:rsid w:val="007C2520"/>
    <w:rsid w:val="007C2B2C"/>
    <w:rsid w:val="007C2B45"/>
    <w:rsid w:val="007C31A4"/>
    <w:rsid w:val="007C4A7F"/>
    <w:rsid w:val="007C4B1E"/>
    <w:rsid w:val="007C4C1D"/>
    <w:rsid w:val="007C6B79"/>
    <w:rsid w:val="007C6B7C"/>
    <w:rsid w:val="007C71D4"/>
    <w:rsid w:val="007C753D"/>
    <w:rsid w:val="007C7B37"/>
    <w:rsid w:val="007C7DFE"/>
    <w:rsid w:val="007D0052"/>
    <w:rsid w:val="007D0584"/>
    <w:rsid w:val="007D05A9"/>
    <w:rsid w:val="007D221B"/>
    <w:rsid w:val="007D2595"/>
    <w:rsid w:val="007D27BE"/>
    <w:rsid w:val="007D3A65"/>
    <w:rsid w:val="007D4671"/>
    <w:rsid w:val="007D4686"/>
    <w:rsid w:val="007D4962"/>
    <w:rsid w:val="007D501D"/>
    <w:rsid w:val="007D795E"/>
    <w:rsid w:val="007E00C7"/>
    <w:rsid w:val="007E0736"/>
    <w:rsid w:val="007E182B"/>
    <w:rsid w:val="007E2DC3"/>
    <w:rsid w:val="007E3D4A"/>
    <w:rsid w:val="007E51A4"/>
    <w:rsid w:val="007E6088"/>
    <w:rsid w:val="007E75DC"/>
    <w:rsid w:val="007E7A10"/>
    <w:rsid w:val="007F09F8"/>
    <w:rsid w:val="007F1369"/>
    <w:rsid w:val="007F3228"/>
    <w:rsid w:val="007F36FE"/>
    <w:rsid w:val="007F4A86"/>
    <w:rsid w:val="007F4C04"/>
    <w:rsid w:val="007F4E00"/>
    <w:rsid w:val="007F5303"/>
    <w:rsid w:val="007F594B"/>
    <w:rsid w:val="007F5A2C"/>
    <w:rsid w:val="0080176F"/>
    <w:rsid w:val="008021EE"/>
    <w:rsid w:val="0080229F"/>
    <w:rsid w:val="0080251C"/>
    <w:rsid w:val="008035CF"/>
    <w:rsid w:val="0080453E"/>
    <w:rsid w:val="00804F83"/>
    <w:rsid w:val="00805AD3"/>
    <w:rsid w:val="00806522"/>
    <w:rsid w:val="00806AEC"/>
    <w:rsid w:val="00810809"/>
    <w:rsid w:val="00814B2A"/>
    <w:rsid w:val="00814B81"/>
    <w:rsid w:val="00814F31"/>
    <w:rsid w:val="00815051"/>
    <w:rsid w:val="00815B78"/>
    <w:rsid w:val="00815F87"/>
    <w:rsid w:val="0081634E"/>
    <w:rsid w:val="00816F36"/>
    <w:rsid w:val="00820C71"/>
    <w:rsid w:val="00821096"/>
    <w:rsid w:val="008212BB"/>
    <w:rsid w:val="008236BC"/>
    <w:rsid w:val="00824A8B"/>
    <w:rsid w:val="00825ECA"/>
    <w:rsid w:val="00826309"/>
    <w:rsid w:val="0082773F"/>
    <w:rsid w:val="00827934"/>
    <w:rsid w:val="00831122"/>
    <w:rsid w:val="00831ABA"/>
    <w:rsid w:val="00832554"/>
    <w:rsid w:val="00834881"/>
    <w:rsid w:val="008349E3"/>
    <w:rsid w:val="00834F66"/>
    <w:rsid w:val="00835196"/>
    <w:rsid w:val="00835998"/>
    <w:rsid w:val="00836309"/>
    <w:rsid w:val="00836792"/>
    <w:rsid w:val="00840D3F"/>
    <w:rsid w:val="0084223D"/>
    <w:rsid w:val="00843884"/>
    <w:rsid w:val="00844506"/>
    <w:rsid w:val="008466DA"/>
    <w:rsid w:val="00846936"/>
    <w:rsid w:val="0085026B"/>
    <w:rsid w:val="0085113B"/>
    <w:rsid w:val="008516E2"/>
    <w:rsid w:val="00851A21"/>
    <w:rsid w:val="00852A72"/>
    <w:rsid w:val="008534C6"/>
    <w:rsid w:val="008539C8"/>
    <w:rsid w:val="00853EBC"/>
    <w:rsid w:val="00857A8A"/>
    <w:rsid w:val="0086223B"/>
    <w:rsid w:val="008624A1"/>
    <w:rsid w:val="008624EE"/>
    <w:rsid w:val="00862A75"/>
    <w:rsid w:val="00862C3E"/>
    <w:rsid w:val="0086461A"/>
    <w:rsid w:val="0086497F"/>
    <w:rsid w:val="00865C87"/>
    <w:rsid w:val="00867779"/>
    <w:rsid w:val="0086799B"/>
    <w:rsid w:val="00867AD1"/>
    <w:rsid w:val="008702A2"/>
    <w:rsid w:val="008723E4"/>
    <w:rsid w:val="0087345A"/>
    <w:rsid w:val="008734A3"/>
    <w:rsid w:val="00873BB8"/>
    <w:rsid w:val="008744F4"/>
    <w:rsid w:val="00874A75"/>
    <w:rsid w:val="00875157"/>
    <w:rsid w:val="008752FF"/>
    <w:rsid w:val="00875968"/>
    <w:rsid w:val="00875C78"/>
    <w:rsid w:val="00876C4A"/>
    <w:rsid w:val="00877173"/>
    <w:rsid w:val="0087789C"/>
    <w:rsid w:val="00877D46"/>
    <w:rsid w:val="008805AE"/>
    <w:rsid w:val="00880880"/>
    <w:rsid w:val="00880927"/>
    <w:rsid w:val="00881ECE"/>
    <w:rsid w:val="008829D0"/>
    <w:rsid w:val="00883091"/>
    <w:rsid w:val="00884027"/>
    <w:rsid w:val="00884CB2"/>
    <w:rsid w:val="00886DA9"/>
    <w:rsid w:val="00886F81"/>
    <w:rsid w:val="00887440"/>
    <w:rsid w:val="00894C60"/>
    <w:rsid w:val="00894E95"/>
    <w:rsid w:val="008972D9"/>
    <w:rsid w:val="0089770F"/>
    <w:rsid w:val="008A0126"/>
    <w:rsid w:val="008A070C"/>
    <w:rsid w:val="008A12A6"/>
    <w:rsid w:val="008A1388"/>
    <w:rsid w:val="008A232D"/>
    <w:rsid w:val="008A29FF"/>
    <w:rsid w:val="008A2A6A"/>
    <w:rsid w:val="008A2B10"/>
    <w:rsid w:val="008A43D1"/>
    <w:rsid w:val="008A5258"/>
    <w:rsid w:val="008A55F7"/>
    <w:rsid w:val="008A5819"/>
    <w:rsid w:val="008A5E49"/>
    <w:rsid w:val="008A65D7"/>
    <w:rsid w:val="008A6C3F"/>
    <w:rsid w:val="008A7B08"/>
    <w:rsid w:val="008B0120"/>
    <w:rsid w:val="008B02DB"/>
    <w:rsid w:val="008B02E4"/>
    <w:rsid w:val="008B1AA2"/>
    <w:rsid w:val="008B2245"/>
    <w:rsid w:val="008B2292"/>
    <w:rsid w:val="008B251C"/>
    <w:rsid w:val="008B31BE"/>
    <w:rsid w:val="008B6AF5"/>
    <w:rsid w:val="008B7FC2"/>
    <w:rsid w:val="008C0059"/>
    <w:rsid w:val="008C0437"/>
    <w:rsid w:val="008C0E9D"/>
    <w:rsid w:val="008C1BDC"/>
    <w:rsid w:val="008C592E"/>
    <w:rsid w:val="008D037A"/>
    <w:rsid w:val="008D04D8"/>
    <w:rsid w:val="008D1485"/>
    <w:rsid w:val="008D1A17"/>
    <w:rsid w:val="008D2848"/>
    <w:rsid w:val="008D4F03"/>
    <w:rsid w:val="008D51D5"/>
    <w:rsid w:val="008D72D5"/>
    <w:rsid w:val="008D7652"/>
    <w:rsid w:val="008D78E0"/>
    <w:rsid w:val="008E02E3"/>
    <w:rsid w:val="008E0A20"/>
    <w:rsid w:val="008E0E39"/>
    <w:rsid w:val="008E3C8F"/>
    <w:rsid w:val="008E4D69"/>
    <w:rsid w:val="008E4F5B"/>
    <w:rsid w:val="008E5541"/>
    <w:rsid w:val="008E64DD"/>
    <w:rsid w:val="008E77C1"/>
    <w:rsid w:val="008F03A2"/>
    <w:rsid w:val="008F0E46"/>
    <w:rsid w:val="008F0F93"/>
    <w:rsid w:val="008F315A"/>
    <w:rsid w:val="008F327E"/>
    <w:rsid w:val="008F41A2"/>
    <w:rsid w:val="008F5389"/>
    <w:rsid w:val="008F5DF2"/>
    <w:rsid w:val="008F5EA3"/>
    <w:rsid w:val="008F6120"/>
    <w:rsid w:val="008F7281"/>
    <w:rsid w:val="008F76F7"/>
    <w:rsid w:val="008F7C7E"/>
    <w:rsid w:val="00900BB7"/>
    <w:rsid w:val="00901A39"/>
    <w:rsid w:val="0090236A"/>
    <w:rsid w:val="00902401"/>
    <w:rsid w:val="00903BFB"/>
    <w:rsid w:val="00903C81"/>
    <w:rsid w:val="00903CB9"/>
    <w:rsid w:val="009048C9"/>
    <w:rsid w:val="00905F8B"/>
    <w:rsid w:val="00907969"/>
    <w:rsid w:val="00907D8C"/>
    <w:rsid w:val="00910850"/>
    <w:rsid w:val="00910A34"/>
    <w:rsid w:val="00911F33"/>
    <w:rsid w:val="00912273"/>
    <w:rsid w:val="009138AF"/>
    <w:rsid w:val="00913FF5"/>
    <w:rsid w:val="00914364"/>
    <w:rsid w:val="00914803"/>
    <w:rsid w:val="009148E8"/>
    <w:rsid w:val="00915ED9"/>
    <w:rsid w:val="00916E12"/>
    <w:rsid w:val="0091722C"/>
    <w:rsid w:val="00920264"/>
    <w:rsid w:val="00921B48"/>
    <w:rsid w:val="009228A7"/>
    <w:rsid w:val="00922EA5"/>
    <w:rsid w:val="00925DD3"/>
    <w:rsid w:val="00927C36"/>
    <w:rsid w:val="00927D9E"/>
    <w:rsid w:val="00927DF2"/>
    <w:rsid w:val="009316B9"/>
    <w:rsid w:val="009339D3"/>
    <w:rsid w:val="00933A12"/>
    <w:rsid w:val="00933E81"/>
    <w:rsid w:val="00933EAC"/>
    <w:rsid w:val="00934879"/>
    <w:rsid w:val="00936CD6"/>
    <w:rsid w:val="00937380"/>
    <w:rsid w:val="00941A3F"/>
    <w:rsid w:val="00941B22"/>
    <w:rsid w:val="00941F00"/>
    <w:rsid w:val="009444CF"/>
    <w:rsid w:val="0094491B"/>
    <w:rsid w:val="00946B8A"/>
    <w:rsid w:val="00946C7A"/>
    <w:rsid w:val="00947294"/>
    <w:rsid w:val="0094732F"/>
    <w:rsid w:val="009502F8"/>
    <w:rsid w:val="00951066"/>
    <w:rsid w:val="009511C9"/>
    <w:rsid w:val="0095190E"/>
    <w:rsid w:val="00953330"/>
    <w:rsid w:val="009551C8"/>
    <w:rsid w:val="009559E9"/>
    <w:rsid w:val="009574E9"/>
    <w:rsid w:val="0096000C"/>
    <w:rsid w:val="0096155D"/>
    <w:rsid w:val="00961906"/>
    <w:rsid w:val="00962B71"/>
    <w:rsid w:val="009646C7"/>
    <w:rsid w:val="00966865"/>
    <w:rsid w:val="00966A93"/>
    <w:rsid w:val="009670E9"/>
    <w:rsid w:val="0096787A"/>
    <w:rsid w:val="00970C1B"/>
    <w:rsid w:val="0097123F"/>
    <w:rsid w:val="00971D4C"/>
    <w:rsid w:val="00972CF4"/>
    <w:rsid w:val="0097390E"/>
    <w:rsid w:val="00974CDD"/>
    <w:rsid w:val="00977392"/>
    <w:rsid w:val="009809CF"/>
    <w:rsid w:val="009813A4"/>
    <w:rsid w:val="00981DCE"/>
    <w:rsid w:val="0098238A"/>
    <w:rsid w:val="009835D4"/>
    <w:rsid w:val="00983D90"/>
    <w:rsid w:val="00984EC5"/>
    <w:rsid w:val="009855D4"/>
    <w:rsid w:val="009868B3"/>
    <w:rsid w:val="00992AC2"/>
    <w:rsid w:val="00993326"/>
    <w:rsid w:val="00993379"/>
    <w:rsid w:val="0099592C"/>
    <w:rsid w:val="00995A9E"/>
    <w:rsid w:val="009A20B8"/>
    <w:rsid w:val="009A48B5"/>
    <w:rsid w:val="009A4C07"/>
    <w:rsid w:val="009A5C4C"/>
    <w:rsid w:val="009A78A6"/>
    <w:rsid w:val="009A7EA8"/>
    <w:rsid w:val="009B01D6"/>
    <w:rsid w:val="009B02D0"/>
    <w:rsid w:val="009B19AC"/>
    <w:rsid w:val="009B1B84"/>
    <w:rsid w:val="009B1E0D"/>
    <w:rsid w:val="009B1E62"/>
    <w:rsid w:val="009B2661"/>
    <w:rsid w:val="009B269F"/>
    <w:rsid w:val="009B3336"/>
    <w:rsid w:val="009B37B1"/>
    <w:rsid w:val="009B4096"/>
    <w:rsid w:val="009B47B3"/>
    <w:rsid w:val="009B5163"/>
    <w:rsid w:val="009B5277"/>
    <w:rsid w:val="009B6A38"/>
    <w:rsid w:val="009B6BC8"/>
    <w:rsid w:val="009B7081"/>
    <w:rsid w:val="009B7914"/>
    <w:rsid w:val="009C0843"/>
    <w:rsid w:val="009C18B4"/>
    <w:rsid w:val="009C19EC"/>
    <w:rsid w:val="009C28D2"/>
    <w:rsid w:val="009C472B"/>
    <w:rsid w:val="009C4C58"/>
    <w:rsid w:val="009C53E5"/>
    <w:rsid w:val="009C5666"/>
    <w:rsid w:val="009C5E00"/>
    <w:rsid w:val="009C71B9"/>
    <w:rsid w:val="009C7253"/>
    <w:rsid w:val="009C75AE"/>
    <w:rsid w:val="009C7DDE"/>
    <w:rsid w:val="009D007B"/>
    <w:rsid w:val="009D04EC"/>
    <w:rsid w:val="009D3CE2"/>
    <w:rsid w:val="009D499C"/>
    <w:rsid w:val="009D51F3"/>
    <w:rsid w:val="009D6571"/>
    <w:rsid w:val="009E180F"/>
    <w:rsid w:val="009E1D1A"/>
    <w:rsid w:val="009E1F28"/>
    <w:rsid w:val="009E2AC4"/>
    <w:rsid w:val="009E3C74"/>
    <w:rsid w:val="009E579A"/>
    <w:rsid w:val="009E65EE"/>
    <w:rsid w:val="009E6CBC"/>
    <w:rsid w:val="009E7326"/>
    <w:rsid w:val="009F0EE4"/>
    <w:rsid w:val="009F14AF"/>
    <w:rsid w:val="009F1C53"/>
    <w:rsid w:val="009F1E1A"/>
    <w:rsid w:val="009F1EAE"/>
    <w:rsid w:val="009F2C08"/>
    <w:rsid w:val="009F2CBE"/>
    <w:rsid w:val="009F3151"/>
    <w:rsid w:val="009F506E"/>
    <w:rsid w:val="009F57B2"/>
    <w:rsid w:val="009F5A2D"/>
    <w:rsid w:val="009F7843"/>
    <w:rsid w:val="009F7C58"/>
    <w:rsid w:val="00A00CF3"/>
    <w:rsid w:val="00A0280E"/>
    <w:rsid w:val="00A03204"/>
    <w:rsid w:val="00A038EF"/>
    <w:rsid w:val="00A046CE"/>
    <w:rsid w:val="00A049B9"/>
    <w:rsid w:val="00A06223"/>
    <w:rsid w:val="00A06A93"/>
    <w:rsid w:val="00A06F63"/>
    <w:rsid w:val="00A0742A"/>
    <w:rsid w:val="00A1036D"/>
    <w:rsid w:val="00A124CB"/>
    <w:rsid w:val="00A12C74"/>
    <w:rsid w:val="00A13337"/>
    <w:rsid w:val="00A13979"/>
    <w:rsid w:val="00A14871"/>
    <w:rsid w:val="00A14AD0"/>
    <w:rsid w:val="00A1614B"/>
    <w:rsid w:val="00A1644B"/>
    <w:rsid w:val="00A1667C"/>
    <w:rsid w:val="00A176D2"/>
    <w:rsid w:val="00A17B49"/>
    <w:rsid w:val="00A21A93"/>
    <w:rsid w:val="00A2248A"/>
    <w:rsid w:val="00A22EC1"/>
    <w:rsid w:val="00A2363A"/>
    <w:rsid w:val="00A23DA9"/>
    <w:rsid w:val="00A24249"/>
    <w:rsid w:val="00A242D7"/>
    <w:rsid w:val="00A24478"/>
    <w:rsid w:val="00A249DA"/>
    <w:rsid w:val="00A253FF"/>
    <w:rsid w:val="00A255FE"/>
    <w:rsid w:val="00A26E99"/>
    <w:rsid w:val="00A30872"/>
    <w:rsid w:val="00A310F6"/>
    <w:rsid w:val="00A31B23"/>
    <w:rsid w:val="00A3248B"/>
    <w:rsid w:val="00A3381C"/>
    <w:rsid w:val="00A33AF0"/>
    <w:rsid w:val="00A34052"/>
    <w:rsid w:val="00A34584"/>
    <w:rsid w:val="00A353B7"/>
    <w:rsid w:val="00A359F9"/>
    <w:rsid w:val="00A36A06"/>
    <w:rsid w:val="00A36BB5"/>
    <w:rsid w:val="00A372C2"/>
    <w:rsid w:val="00A40418"/>
    <w:rsid w:val="00A40EE5"/>
    <w:rsid w:val="00A42863"/>
    <w:rsid w:val="00A448E7"/>
    <w:rsid w:val="00A44EB7"/>
    <w:rsid w:val="00A46202"/>
    <w:rsid w:val="00A46913"/>
    <w:rsid w:val="00A46B1D"/>
    <w:rsid w:val="00A46BD1"/>
    <w:rsid w:val="00A50FD6"/>
    <w:rsid w:val="00A511B1"/>
    <w:rsid w:val="00A5137A"/>
    <w:rsid w:val="00A54C60"/>
    <w:rsid w:val="00A54DFE"/>
    <w:rsid w:val="00A562E2"/>
    <w:rsid w:val="00A5666B"/>
    <w:rsid w:val="00A56C7E"/>
    <w:rsid w:val="00A57DCA"/>
    <w:rsid w:val="00A57FE8"/>
    <w:rsid w:val="00A611A1"/>
    <w:rsid w:val="00A61C2D"/>
    <w:rsid w:val="00A61F00"/>
    <w:rsid w:val="00A63DBF"/>
    <w:rsid w:val="00A64050"/>
    <w:rsid w:val="00A64B15"/>
    <w:rsid w:val="00A65A35"/>
    <w:rsid w:val="00A65A97"/>
    <w:rsid w:val="00A66471"/>
    <w:rsid w:val="00A66776"/>
    <w:rsid w:val="00A67167"/>
    <w:rsid w:val="00A67CA0"/>
    <w:rsid w:val="00A721E7"/>
    <w:rsid w:val="00A72291"/>
    <w:rsid w:val="00A7300D"/>
    <w:rsid w:val="00A731CF"/>
    <w:rsid w:val="00A73EF1"/>
    <w:rsid w:val="00A7719A"/>
    <w:rsid w:val="00A77570"/>
    <w:rsid w:val="00A80034"/>
    <w:rsid w:val="00A8028A"/>
    <w:rsid w:val="00A80416"/>
    <w:rsid w:val="00A80AC4"/>
    <w:rsid w:val="00A80DC0"/>
    <w:rsid w:val="00A8204B"/>
    <w:rsid w:val="00A82A88"/>
    <w:rsid w:val="00A84381"/>
    <w:rsid w:val="00A84C18"/>
    <w:rsid w:val="00A90A2D"/>
    <w:rsid w:val="00A9194B"/>
    <w:rsid w:val="00A91B0B"/>
    <w:rsid w:val="00A925EC"/>
    <w:rsid w:val="00A93A48"/>
    <w:rsid w:val="00A94318"/>
    <w:rsid w:val="00A94DD1"/>
    <w:rsid w:val="00A95290"/>
    <w:rsid w:val="00A9716F"/>
    <w:rsid w:val="00A971A3"/>
    <w:rsid w:val="00A97573"/>
    <w:rsid w:val="00AA10C3"/>
    <w:rsid w:val="00AA1827"/>
    <w:rsid w:val="00AA2048"/>
    <w:rsid w:val="00AA2207"/>
    <w:rsid w:val="00AA2B0B"/>
    <w:rsid w:val="00AA2D8F"/>
    <w:rsid w:val="00AA2FF5"/>
    <w:rsid w:val="00AA33AB"/>
    <w:rsid w:val="00AA36BA"/>
    <w:rsid w:val="00AA4B11"/>
    <w:rsid w:val="00AA50CF"/>
    <w:rsid w:val="00AA51A4"/>
    <w:rsid w:val="00AA5895"/>
    <w:rsid w:val="00AA5A7F"/>
    <w:rsid w:val="00AA6F14"/>
    <w:rsid w:val="00AA74BB"/>
    <w:rsid w:val="00AA7748"/>
    <w:rsid w:val="00AA7ECD"/>
    <w:rsid w:val="00AB0525"/>
    <w:rsid w:val="00AB21B7"/>
    <w:rsid w:val="00AB2423"/>
    <w:rsid w:val="00AB24F2"/>
    <w:rsid w:val="00AB2F45"/>
    <w:rsid w:val="00AB457E"/>
    <w:rsid w:val="00AB4DA6"/>
    <w:rsid w:val="00AB5B23"/>
    <w:rsid w:val="00AB5BE3"/>
    <w:rsid w:val="00AB6114"/>
    <w:rsid w:val="00AB68DB"/>
    <w:rsid w:val="00AB6AEF"/>
    <w:rsid w:val="00AB6EDC"/>
    <w:rsid w:val="00AB7C69"/>
    <w:rsid w:val="00AC00A1"/>
    <w:rsid w:val="00AC0D8A"/>
    <w:rsid w:val="00AC0F29"/>
    <w:rsid w:val="00AC16FB"/>
    <w:rsid w:val="00AC1905"/>
    <w:rsid w:val="00AC2AF9"/>
    <w:rsid w:val="00AC3522"/>
    <w:rsid w:val="00AC384B"/>
    <w:rsid w:val="00AC4CD3"/>
    <w:rsid w:val="00AC5471"/>
    <w:rsid w:val="00AC561E"/>
    <w:rsid w:val="00AC5DAD"/>
    <w:rsid w:val="00AC6398"/>
    <w:rsid w:val="00AC757B"/>
    <w:rsid w:val="00AC7BC1"/>
    <w:rsid w:val="00AC7CB5"/>
    <w:rsid w:val="00AD0100"/>
    <w:rsid w:val="00AD0DF8"/>
    <w:rsid w:val="00AD49FF"/>
    <w:rsid w:val="00AD4DFB"/>
    <w:rsid w:val="00AE0243"/>
    <w:rsid w:val="00AE1E30"/>
    <w:rsid w:val="00AE3704"/>
    <w:rsid w:val="00AE3AFF"/>
    <w:rsid w:val="00AE5770"/>
    <w:rsid w:val="00AE72D3"/>
    <w:rsid w:val="00AF0634"/>
    <w:rsid w:val="00AF19A3"/>
    <w:rsid w:val="00AF1EA0"/>
    <w:rsid w:val="00AF2498"/>
    <w:rsid w:val="00AF2D05"/>
    <w:rsid w:val="00AF3C7D"/>
    <w:rsid w:val="00AF474C"/>
    <w:rsid w:val="00AF6E07"/>
    <w:rsid w:val="00AF7E90"/>
    <w:rsid w:val="00B01F03"/>
    <w:rsid w:val="00B02BC9"/>
    <w:rsid w:val="00B02CE3"/>
    <w:rsid w:val="00B049A1"/>
    <w:rsid w:val="00B05769"/>
    <w:rsid w:val="00B063B7"/>
    <w:rsid w:val="00B0659D"/>
    <w:rsid w:val="00B06F79"/>
    <w:rsid w:val="00B0734A"/>
    <w:rsid w:val="00B0791E"/>
    <w:rsid w:val="00B10B3C"/>
    <w:rsid w:val="00B1230B"/>
    <w:rsid w:val="00B15A20"/>
    <w:rsid w:val="00B16217"/>
    <w:rsid w:val="00B1692F"/>
    <w:rsid w:val="00B16EF1"/>
    <w:rsid w:val="00B20EC2"/>
    <w:rsid w:val="00B221A8"/>
    <w:rsid w:val="00B22EE1"/>
    <w:rsid w:val="00B25905"/>
    <w:rsid w:val="00B25A57"/>
    <w:rsid w:val="00B2694D"/>
    <w:rsid w:val="00B27F63"/>
    <w:rsid w:val="00B30D7A"/>
    <w:rsid w:val="00B32069"/>
    <w:rsid w:val="00B320A5"/>
    <w:rsid w:val="00B32DAE"/>
    <w:rsid w:val="00B33167"/>
    <w:rsid w:val="00B331DA"/>
    <w:rsid w:val="00B3419C"/>
    <w:rsid w:val="00B348EA"/>
    <w:rsid w:val="00B349AB"/>
    <w:rsid w:val="00B34AAB"/>
    <w:rsid w:val="00B36127"/>
    <w:rsid w:val="00B372D1"/>
    <w:rsid w:val="00B37524"/>
    <w:rsid w:val="00B40277"/>
    <w:rsid w:val="00B403A2"/>
    <w:rsid w:val="00B41173"/>
    <w:rsid w:val="00B41D75"/>
    <w:rsid w:val="00B423D0"/>
    <w:rsid w:val="00B424E0"/>
    <w:rsid w:val="00B42538"/>
    <w:rsid w:val="00B42F74"/>
    <w:rsid w:val="00B42FB0"/>
    <w:rsid w:val="00B4301D"/>
    <w:rsid w:val="00B4348C"/>
    <w:rsid w:val="00B43835"/>
    <w:rsid w:val="00B43867"/>
    <w:rsid w:val="00B44575"/>
    <w:rsid w:val="00B45831"/>
    <w:rsid w:val="00B46B04"/>
    <w:rsid w:val="00B479B3"/>
    <w:rsid w:val="00B47D24"/>
    <w:rsid w:val="00B47D61"/>
    <w:rsid w:val="00B50D99"/>
    <w:rsid w:val="00B51105"/>
    <w:rsid w:val="00B515D8"/>
    <w:rsid w:val="00B52434"/>
    <w:rsid w:val="00B52938"/>
    <w:rsid w:val="00B536E7"/>
    <w:rsid w:val="00B53B0A"/>
    <w:rsid w:val="00B541F1"/>
    <w:rsid w:val="00B54A70"/>
    <w:rsid w:val="00B558EC"/>
    <w:rsid w:val="00B55EAB"/>
    <w:rsid w:val="00B5799C"/>
    <w:rsid w:val="00B622BB"/>
    <w:rsid w:val="00B62513"/>
    <w:rsid w:val="00B63C4B"/>
    <w:rsid w:val="00B64BE8"/>
    <w:rsid w:val="00B659E6"/>
    <w:rsid w:val="00B66ACF"/>
    <w:rsid w:val="00B66E24"/>
    <w:rsid w:val="00B70EB8"/>
    <w:rsid w:val="00B71F3C"/>
    <w:rsid w:val="00B72E69"/>
    <w:rsid w:val="00B73E2E"/>
    <w:rsid w:val="00B746AE"/>
    <w:rsid w:val="00B7763A"/>
    <w:rsid w:val="00B776E0"/>
    <w:rsid w:val="00B77E1F"/>
    <w:rsid w:val="00B81650"/>
    <w:rsid w:val="00B81AF6"/>
    <w:rsid w:val="00B81C41"/>
    <w:rsid w:val="00B82D79"/>
    <w:rsid w:val="00B83457"/>
    <w:rsid w:val="00B840E3"/>
    <w:rsid w:val="00B84163"/>
    <w:rsid w:val="00B85765"/>
    <w:rsid w:val="00B917AB"/>
    <w:rsid w:val="00B91E25"/>
    <w:rsid w:val="00B91EEE"/>
    <w:rsid w:val="00B924E8"/>
    <w:rsid w:val="00B94973"/>
    <w:rsid w:val="00B94A45"/>
    <w:rsid w:val="00B94FAD"/>
    <w:rsid w:val="00B95487"/>
    <w:rsid w:val="00B95E2C"/>
    <w:rsid w:val="00B9725E"/>
    <w:rsid w:val="00B97AD8"/>
    <w:rsid w:val="00BA0A72"/>
    <w:rsid w:val="00BA370D"/>
    <w:rsid w:val="00BA3B0C"/>
    <w:rsid w:val="00BA40CE"/>
    <w:rsid w:val="00BA4DB8"/>
    <w:rsid w:val="00BA7BEB"/>
    <w:rsid w:val="00BB0553"/>
    <w:rsid w:val="00BB1B18"/>
    <w:rsid w:val="00BB3528"/>
    <w:rsid w:val="00BB3F51"/>
    <w:rsid w:val="00BB453E"/>
    <w:rsid w:val="00BB6BE8"/>
    <w:rsid w:val="00BC0700"/>
    <w:rsid w:val="00BC0D50"/>
    <w:rsid w:val="00BC0EAF"/>
    <w:rsid w:val="00BC2172"/>
    <w:rsid w:val="00BC29D3"/>
    <w:rsid w:val="00BC2CB3"/>
    <w:rsid w:val="00BC2F90"/>
    <w:rsid w:val="00BC34C2"/>
    <w:rsid w:val="00BC3701"/>
    <w:rsid w:val="00BC3AA2"/>
    <w:rsid w:val="00BC408E"/>
    <w:rsid w:val="00BC4E03"/>
    <w:rsid w:val="00BC54D5"/>
    <w:rsid w:val="00BC558A"/>
    <w:rsid w:val="00BC57FD"/>
    <w:rsid w:val="00BC5B74"/>
    <w:rsid w:val="00BC72D6"/>
    <w:rsid w:val="00BD0858"/>
    <w:rsid w:val="00BD0D56"/>
    <w:rsid w:val="00BD152C"/>
    <w:rsid w:val="00BD1A63"/>
    <w:rsid w:val="00BD1ADB"/>
    <w:rsid w:val="00BD1DD7"/>
    <w:rsid w:val="00BD239D"/>
    <w:rsid w:val="00BD2A3B"/>
    <w:rsid w:val="00BD375B"/>
    <w:rsid w:val="00BD389B"/>
    <w:rsid w:val="00BD5E80"/>
    <w:rsid w:val="00BD5F7A"/>
    <w:rsid w:val="00BD72A1"/>
    <w:rsid w:val="00BE0790"/>
    <w:rsid w:val="00BE189A"/>
    <w:rsid w:val="00BE5E27"/>
    <w:rsid w:val="00BE5F00"/>
    <w:rsid w:val="00BE68FE"/>
    <w:rsid w:val="00BE70F8"/>
    <w:rsid w:val="00BE7811"/>
    <w:rsid w:val="00BF205E"/>
    <w:rsid w:val="00BF2700"/>
    <w:rsid w:val="00BF2B94"/>
    <w:rsid w:val="00BF325C"/>
    <w:rsid w:val="00BF367A"/>
    <w:rsid w:val="00BF3E01"/>
    <w:rsid w:val="00BF5D0E"/>
    <w:rsid w:val="00BF6742"/>
    <w:rsid w:val="00BF69EC"/>
    <w:rsid w:val="00BF70E7"/>
    <w:rsid w:val="00C0025B"/>
    <w:rsid w:val="00C0090D"/>
    <w:rsid w:val="00C00D13"/>
    <w:rsid w:val="00C025D3"/>
    <w:rsid w:val="00C02E52"/>
    <w:rsid w:val="00C047D2"/>
    <w:rsid w:val="00C04B00"/>
    <w:rsid w:val="00C0571C"/>
    <w:rsid w:val="00C068C0"/>
    <w:rsid w:val="00C07A72"/>
    <w:rsid w:val="00C147C6"/>
    <w:rsid w:val="00C1568B"/>
    <w:rsid w:val="00C16D92"/>
    <w:rsid w:val="00C20B56"/>
    <w:rsid w:val="00C20D38"/>
    <w:rsid w:val="00C20D50"/>
    <w:rsid w:val="00C2178B"/>
    <w:rsid w:val="00C22F44"/>
    <w:rsid w:val="00C25DB3"/>
    <w:rsid w:val="00C2640B"/>
    <w:rsid w:val="00C26589"/>
    <w:rsid w:val="00C307A3"/>
    <w:rsid w:val="00C31606"/>
    <w:rsid w:val="00C3426B"/>
    <w:rsid w:val="00C357BD"/>
    <w:rsid w:val="00C3771D"/>
    <w:rsid w:val="00C42962"/>
    <w:rsid w:val="00C43CF3"/>
    <w:rsid w:val="00C453C7"/>
    <w:rsid w:val="00C455D8"/>
    <w:rsid w:val="00C459A2"/>
    <w:rsid w:val="00C47304"/>
    <w:rsid w:val="00C47EEF"/>
    <w:rsid w:val="00C51009"/>
    <w:rsid w:val="00C51B45"/>
    <w:rsid w:val="00C52B50"/>
    <w:rsid w:val="00C53518"/>
    <w:rsid w:val="00C53B8F"/>
    <w:rsid w:val="00C5487D"/>
    <w:rsid w:val="00C55675"/>
    <w:rsid w:val="00C557B6"/>
    <w:rsid w:val="00C568E1"/>
    <w:rsid w:val="00C5792D"/>
    <w:rsid w:val="00C6074F"/>
    <w:rsid w:val="00C610D2"/>
    <w:rsid w:val="00C62124"/>
    <w:rsid w:val="00C63E3C"/>
    <w:rsid w:val="00C63F3D"/>
    <w:rsid w:val="00C64454"/>
    <w:rsid w:val="00C64BD0"/>
    <w:rsid w:val="00C664B1"/>
    <w:rsid w:val="00C666B2"/>
    <w:rsid w:val="00C6723C"/>
    <w:rsid w:val="00C679C8"/>
    <w:rsid w:val="00C7073F"/>
    <w:rsid w:val="00C713D6"/>
    <w:rsid w:val="00C71DBE"/>
    <w:rsid w:val="00C71E1C"/>
    <w:rsid w:val="00C736D5"/>
    <w:rsid w:val="00C74212"/>
    <w:rsid w:val="00C75384"/>
    <w:rsid w:val="00C7583F"/>
    <w:rsid w:val="00C75EDC"/>
    <w:rsid w:val="00C7630D"/>
    <w:rsid w:val="00C76434"/>
    <w:rsid w:val="00C76C92"/>
    <w:rsid w:val="00C773D6"/>
    <w:rsid w:val="00C77D09"/>
    <w:rsid w:val="00C84E8F"/>
    <w:rsid w:val="00C850A4"/>
    <w:rsid w:val="00C86BAB"/>
    <w:rsid w:val="00C92894"/>
    <w:rsid w:val="00C93AF4"/>
    <w:rsid w:val="00C93FDE"/>
    <w:rsid w:val="00C9407B"/>
    <w:rsid w:val="00C9409F"/>
    <w:rsid w:val="00C953BE"/>
    <w:rsid w:val="00C961DF"/>
    <w:rsid w:val="00C96892"/>
    <w:rsid w:val="00C96D06"/>
    <w:rsid w:val="00C97BB9"/>
    <w:rsid w:val="00CA06F2"/>
    <w:rsid w:val="00CA080D"/>
    <w:rsid w:val="00CA3335"/>
    <w:rsid w:val="00CA358E"/>
    <w:rsid w:val="00CA5738"/>
    <w:rsid w:val="00CA5991"/>
    <w:rsid w:val="00CA5A42"/>
    <w:rsid w:val="00CB1CED"/>
    <w:rsid w:val="00CB229A"/>
    <w:rsid w:val="00CB244C"/>
    <w:rsid w:val="00CB3325"/>
    <w:rsid w:val="00CB4FE1"/>
    <w:rsid w:val="00CB6441"/>
    <w:rsid w:val="00CB6809"/>
    <w:rsid w:val="00CB7D2C"/>
    <w:rsid w:val="00CC12F8"/>
    <w:rsid w:val="00CC1EBC"/>
    <w:rsid w:val="00CC3761"/>
    <w:rsid w:val="00CC37F9"/>
    <w:rsid w:val="00CC4362"/>
    <w:rsid w:val="00CC47DD"/>
    <w:rsid w:val="00CC4D9C"/>
    <w:rsid w:val="00CC5BB7"/>
    <w:rsid w:val="00CC714A"/>
    <w:rsid w:val="00CC73FF"/>
    <w:rsid w:val="00CD07EF"/>
    <w:rsid w:val="00CD0C36"/>
    <w:rsid w:val="00CD0FEE"/>
    <w:rsid w:val="00CD4DB2"/>
    <w:rsid w:val="00CD4EE6"/>
    <w:rsid w:val="00CD6308"/>
    <w:rsid w:val="00CD7720"/>
    <w:rsid w:val="00CD7805"/>
    <w:rsid w:val="00CE007B"/>
    <w:rsid w:val="00CE0788"/>
    <w:rsid w:val="00CE0AB3"/>
    <w:rsid w:val="00CE22D9"/>
    <w:rsid w:val="00CE3A43"/>
    <w:rsid w:val="00CE4743"/>
    <w:rsid w:val="00CE4D3E"/>
    <w:rsid w:val="00CE4EE8"/>
    <w:rsid w:val="00CE5B71"/>
    <w:rsid w:val="00CE61D3"/>
    <w:rsid w:val="00CE696F"/>
    <w:rsid w:val="00CE7760"/>
    <w:rsid w:val="00CF0100"/>
    <w:rsid w:val="00CF1D33"/>
    <w:rsid w:val="00CF4FBD"/>
    <w:rsid w:val="00CF778D"/>
    <w:rsid w:val="00D0336E"/>
    <w:rsid w:val="00D04876"/>
    <w:rsid w:val="00D05B2C"/>
    <w:rsid w:val="00D11764"/>
    <w:rsid w:val="00D12DA0"/>
    <w:rsid w:val="00D151D4"/>
    <w:rsid w:val="00D15219"/>
    <w:rsid w:val="00D1532F"/>
    <w:rsid w:val="00D16EF4"/>
    <w:rsid w:val="00D172D9"/>
    <w:rsid w:val="00D17730"/>
    <w:rsid w:val="00D17DC2"/>
    <w:rsid w:val="00D203CC"/>
    <w:rsid w:val="00D21176"/>
    <w:rsid w:val="00D21F6B"/>
    <w:rsid w:val="00D22FAF"/>
    <w:rsid w:val="00D23AB9"/>
    <w:rsid w:val="00D257C2"/>
    <w:rsid w:val="00D258DD"/>
    <w:rsid w:val="00D266A3"/>
    <w:rsid w:val="00D274AB"/>
    <w:rsid w:val="00D27F73"/>
    <w:rsid w:val="00D303A0"/>
    <w:rsid w:val="00D30978"/>
    <w:rsid w:val="00D30E62"/>
    <w:rsid w:val="00D32A90"/>
    <w:rsid w:val="00D3656A"/>
    <w:rsid w:val="00D369A5"/>
    <w:rsid w:val="00D374B8"/>
    <w:rsid w:val="00D37962"/>
    <w:rsid w:val="00D4179C"/>
    <w:rsid w:val="00D43341"/>
    <w:rsid w:val="00D43D6B"/>
    <w:rsid w:val="00D45312"/>
    <w:rsid w:val="00D45337"/>
    <w:rsid w:val="00D4552C"/>
    <w:rsid w:val="00D45EB8"/>
    <w:rsid w:val="00D467D6"/>
    <w:rsid w:val="00D5237E"/>
    <w:rsid w:val="00D52CA4"/>
    <w:rsid w:val="00D53116"/>
    <w:rsid w:val="00D53B3E"/>
    <w:rsid w:val="00D53FD8"/>
    <w:rsid w:val="00D541B5"/>
    <w:rsid w:val="00D54E5F"/>
    <w:rsid w:val="00D55277"/>
    <w:rsid w:val="00D55C7C"/>
    <w:rsid w:val="00D564A4"/>
    <w:rsid w:val="00D5720F"/>
    <w:rsid w:val="00D60160"/>
    <w:rsid w:val="00D619BD"/>
    <w:rsid w:val="00D628D0"/>
    <w:rsid w:val="00D63004"/>
    <w:rsid w:val="00D64070"/>
    <w:rsid w:val="00D6560D"/>
    <w:rsid w:val="00D6694B"/>
    <w:rsid w:val="00D67AB9"/>
    <w:rsid w:val="00D71FD7"/>
    <w:rsid w:val="00D73337"/>
    <w:rsid w:val="00D74793"/>
    <w:rsid w:val="00D75094"/>
    <w:rsid w:val="00D75F62"/>
    <w:rsid w:val="00D77731"/>
    <w:rsid w:val="00D80660"/>
    <w:rsid w:val="00D81C1F"/>
    <w:rsid w:val="00D8260B"/>
    <w:rsid w:val="00D833C7"/>
    <w:rsid w:val="00D83839"/>
    <w:rsid w:val="00D842AE"/>
    <w:rsid w:val="00D8442C"/>
    <w:rsid w:val="00D85206"/>
    <w:rsid w:val="00D9001D"/>
    <w:rsid w:val="00D90221"/>
    <w:rsid w:val="00D91BFA"/>
    <w:rsid w:val="00D935BB"/>
    <w:rsid w:val="00D935D2"/>
    <w:rsid w:val="00D941B8"/>
    <w:rsid w:val="00D95C49"/>
    <w:rsid w:val="00D9623C"/>
    <w:rsid w:val="00D96CF4"/>
    <w:rsid w:val="00D96D9C"/>
    <w:rsid w:val="00D96DA9"/>
    <w:rsid w:val="00D972D7"/>
    <w:rsid w:val="00DA0B59"/>
    <w:rsid w:val="00DA2A94"/>
    <w:rsid w:val="00DA2C0E"/>
    <w:rsid w:val="00DA4F70"/>
    <w:rsid w:val="00DA5F5D"/>
    <w:rsid w:val="00DA6582"/>
    <w:rsid w:val="00DA77AB"/>
    <w:rsid w:val="00DB08A5"/>
    <w:rsid w:val="00DB0AAA"/>
    <w:rsid w:val="00DB26FC"/>
    <w:rsid w:val="00DB3C3B"/>
    <w:rsid w:val="00DB3D9C"/>
    <w:rsid w:val="00DB3E7A"/>
    <w:rsid w:val="00DB5F67"/>
    <w:rsid w:val="00DB6B66"/>
    <w:rsid w:val="00DB6FBE"/>
    <w:rsid w:val="00DC2909"/>
    <w:rsid w:val="00DC391E"/>
    <w:rsid w:val="00DC3BDA"/>
    <w:rsid w:val="00DC503C"/>
    <w:rsid w:val="00DC5A43"/>
    <w:rsid w:val="00DC7304"/>
    <w:rsid w:val="00DC7DBE"/>
    <w:rsid w:val="00DC7EDB"/>
    <w:rsid w:val="00DD0B1B"/>
    <w:rsid w:val="00DD195C"/>
    <w:rsid w:val="00DD66AB"/>
    <w:rsid w:val="00DD6E5E"/>
    <w:rsid w:val="00DE0D52"/>
    <w:rsid w:val="00DE10A0"/>
    <w:rsid w:val="00DE1797"/>
    <w:rsid w:val="00DE2297"/>
    <w:rsid w:val="00DE2681"/>
    <w:rsid w:val="00DE3C9B"/>
    <w:rsid w:val="00DE3FCE"/>
    <w:rsid w:val="00DE55ED"/>
    <w:rsid w:val="00DE611B"/>
    <w:rsid w:val="00DE69E7"/>
    <w:rsid w:val="00DE6D95"/>
    <w:rsid w:val="00DE71E1"/>
    <w:rsid w:val="00DE72A9"/>
    <w:rsid w:val="00DF2F59"/>
    <w:rsid w:val="00DF56A8"/>
    <w:rsid w:val="00DF6419"/>
    <w:rsid w:val="00DF6BEC"/>
    <w:rsid w:val="00E012D1"/>
    <w:rsid w:val="00E020B4"/>
    <w:rsid w:val="00E02759"/>
    <w:rsid w:val="00E0345B"/>
    <w:rsid w:val="00E0357C"/>
    <w:rsid w:val="00E0358F"/>
    <w:rsid w:val="00E05572"/>
    <w:rsid w:val="00E05BDF"/>
    <w:rsid w:val="00E05CA3"/>
    <w:rsid w:val="00E062F2"/>
    <w:rsid w:val="00E06CA7"/>
    <w:rsid w:val="00E070C9"/>
    <w:rsid w:val="00E0766D"/>
    <w:rsid w:val="00E10475"/>
    <w:rsid w:val="00E1068C"/>
    <w:rsid w:val="00E1090A"/>
    <w:rsid w:val="00E12737"/>
    <w:rsid w:val="00E13F82"/>
    <w:rsid w:val="00E143E7"/>
    <w:rsid w:val="00E154D5"/>
    <w:rsid w:val="00E17A2C"/>
    <w:rsid w:val="00E2079A"/>
    <w:rsid w:val="00E25160"/>
    <w:rsid w:val="00E2576E"/>
    <w:rsid w:val="00E25CF4"/>
    <w:rsid w:val="00E25DFF"/>
    <w:rsid w:val="00E2793A"/>
    <w:rsid w:val="00E27A4B"/>
    <w:rsid w:val="00E306DB"/>
    <w:rsid w:val="00E30FEE"/>
    <w:rsid w:val="00E310D2"/>
    <w:rsid w:val="00E32E61"/>
    <w:rsid w:val="00E34544"/>
    <w:rsid w:val="00E36BA7"/>
    <w:rsid w:val="00E37085"/>
    <w:rsid w:val="00E3777A"/>
    <w:rsid w:val="00E4418C"/>
    <w:rsid w:val="00E44E29"/>
    <w:rsid w:val="00E45397"/>
    <w:rsid w:val="00E45650"/>
    <w:rsid w:val="00E46643"/>
    <w:rsid w:val="00E46A0D"/>
    <w:rsid w:val="00E5098A"/>
    <w:rsid w:val="00E50A38"/>
    <w:rsid w:val="00E515D3"/>
    <w:rsid w:val="00E516C5"/>
    <w:rsid w:val="00E535CD"/>
    <w:rsid w:val="00E53B3B"/>
    <w:rsid w:val="00E547B3"/>
    <w:rsid w:val="00E577AF"/>
    <w:rsid w:val="00E578B9"/>
    <w:rsid w:val="00E579D9"/>
    <w:rsid w:val="00E60083"/>
    <w:rsid w:val="00E60D9C"/>
    <w:rsid w:val="00E6251A"/>
    <w:rsid w:val="00E630F9"/>
    <w:rsid w:val="00E65081"/>
    <w:rsid w:val="00E66EEE"/>
    <w:rsid w:val="00E67541"/>
    <w:rsid w:val="00E67BB2"/>
    <w:rsid w:val="00E705AF"/>
    <w:rsid w:val="00E73492"/>
    <w:rsid w:val="00E74235"/>
    <w:rsid w:val="00E74685"/>
    <w:rsid w:val="00E75B0B"/>
    <w:rsid w:val="00E75E8F"/>
    <w:rsid w:val="00E76471"/>
    <w:rsid w:val="00E81469"/>
    <w:rsid w:val="00E828EC"/>
    <w:rsid w:val="00E84AAC"/>
    <w:rsid w:val="00E84F0C"/>
    <w:rsid w:val="00E85562"/>
    <w:rsid w:val="00E87547"/>
    <w:rsid w:val="00E87AF6"/>
    <w:rsid w:val="00E909F1"/>
    <w:rsid w:val="00E913B7"/>
    <w:rsid w:val="00E94E1A"/>
    <w:rsid w:val="00E96761"/>
    <w:rsid w:val="00E96B38"/>
    <w:rsid w:val="00EA1A39"/>
    <w:rsid w:val="00EA1F1D"/>
    <w:rsid w:val="00EA28EC"/>
    <w:rsid w:val="00EA28FB"/>
    <w:rsid w:val="00EA3D98"/>
    <w:rsid w:val="00EA3DAC"/>
    <w:rsid w:val="00EA658A"/>
    <w:rsid w:val="00EA6CCB"/>
    <w:rsid w:val="00EA6E0A"/>
    <w:rsid w:val="00EB029D"/>
    <w:rsid w:val="00EB12A4"/>
    <w:rsid w:val="00EB1536"/>
    <w:rsid w:val="00EB2674"/>
    <w:rsid w:val="00EB2E8E"/>
    <w:rsid w:val="00EB3B75"/>
    <w:rsid w:val="00EB45BB"/>
    <w:rsid w:val="00EB50DD"/>
    <w:rsid w:val="00EB5802"/>
    <w:rsid w:val="00EB5BB6"/>
    <w:rsid w:val="00EB5D22"/>
    <w:rsid w:val="00EB649D"/>
    <w:rsid w:val="00EB6CB8"/>
    <w:rsid w:val="00EB7B76"/>
    <w:rsid w:val="00EC1DF2"/>
    <w:rsid w:val="00EC255F"/>
    <w:rsid w:val="00EC3103"/>
    <w:rsid w:val="00EC3CD4"/>
    <w:rsid w:val="00EC4115"/>
    <w:rsid w:val="00EC43BB"/>
    <w:rsid w:val="00EC46F5"/>
    <w:rsid w:val="00EC5A0F"/>
    <w:rsid w:val="00EC5BDA"/>
    <w:rsid w:val="00EC6628"/>
    <w:rsid w:val="00EC6B84"/>
    <w:rsid w:val="00EC74E1"/>
    <w:rsid w:val="00EC76DB"/>
    <w:rsid w:val="00ED0C0D"/>
    <w:rsid w:val="00ED1422"/>
    <w:rsid w:val="00ED181B"/>
    <w:rsid w:val="00ED2198"/>
    <w:rsid w:val="00ED283D"/>
    <w:rsid w:val="00ED3416"/>
    <w:rsid w:val="00ED3DDC"/>
    <w:rsid w:val="00ED40BA"/>
    <w:rsid w:val="00ED688F"/>
    <w:rsid w:val="00ED797C"/>
    <w:rsid w:val="00EE0133"/>
    <w:rsid w:val="00EE1644"/>
    <w:rsid w:val="00EE3C7F"/>
    <w:rsid w:val="00EE5C20"/>
    <w:rsid w:val="00EE673B"/>
    <w:rsid w:val="00EE6E90"/>
    <w:rsid w:val="00EE70EA"/>
    <w:rsid w:val="00EF15D1"/>
    <w:rsid w:val="00EF2AAD"/>
    <w:rsid w:val="00EF5290"/>
    <w:rsid w:val="00EF53D0"/>
    <w:rsid w:val="00EF5DC7"/>
    <w:rsid w:val="00EF7227"/>
    <w:rsid w:val="00EF79B7"/>
    <w:rsid w:val="00F015EB"/>
    <w:rsid w:val="00F0181E"/>
    <w:rsid w:val="00F02FAB"/>
    <w:rsid w:val="00F04114"/>
    <w:rsid w:val="00F04752"/>
    <w:rsid w:val="00F048BD"/>
    <w:rsid w:val="00F04D5E"/>
    <w:rsid w:val="00F05AB7"/>
    <w:rsid w:val="00F06ACE"/>
    <w:rsid w:val="00F06D7A"/>
    <w:rsid w:val="00F070E0"/>
    <w:rsid w:val="00F07C35"/>
    <w:rsid w:val="00F07E50"/>
    <w:rsid w:val="00F103CA"/>
    <w:rsid w:val="00F11114"/>
    <w:rsid w:val="00F11576"/>
    <w:rsid w:val="00F11EAD"/>
    <w:rsid w:val="00F136F5"/>
    <w:rsid w:val="00F1388B"/>
    <w:rsid w:val="00F13F8A"/>
    <w:rsid w:val="00F14065"/>
    <w:rsid w:val="00F15A40"/>
    <w:rsid w:val="00F17092"/>
    <w:rsid w:val="00F172DE"/>
    <w:rsid w:val="00F20E0F"/>
    <w:rsid w:val="00F23C3A"/>
    <w:rsid w:val="00F24F69"/>
    <w:rsid w:val="00F260F4"/>
    <w:rsid w:val="00F263C7"/>
    <w:rsid w:val="00F27266"/>
    <w:rsid w:val="00F27F11"/>
    <w:rsid w:val="00F30E43"/>
    <w:rsid w:val="00F31F46"/>
    <w:rsid w:val="00F328A6"/>
    <w:rsid w:val="00F32F2A"/>
    <w:rsid w:val="00F333B5"/>
    <w:rsid w:val="00F33B8D"/>
    <w:rsid w:val="00F3423C"/>
    <w:rsid w:val="00F34BD9"/>
    <w:rsid w:val="00F358E4"/>
    <w:rsid w:val="00F35B67"/>
    <w:rsid w:val="00F37046"/>
    <w:rsid w:val="00F37FCF"/>
    <w:rsid w:val="00F40032"/>
    <w:rsid w:val="00F406A8"/>
    <w:rsid w:val="00F407E2"/>
    <w:rsid w:val="00F408DB"/>
    <w:rsid w:val="00F41B6A"/>
    <w:rsid w:val="00F42ED4"/>
    <w:rsid w:val="00F43EDD"/>
    <w:rsid w:val="00F44866"/>
    <w:rsid w:val="00F4488B"/>
    <w:rsid w:val="00F44A14"/>
    <w:rsid w:val="00F44B3A"/>
    <w:rsid w:val="00F511AD"/>
    <w:rsid w:val="00F522AA"/>
    <w:rsid w:val="00F531B0"/>
    <w:rsid w:val="00F5332C"/>
    <w:rsid w:val="00F54D2C"/>
    <w:rsid w:val="00F54F19"/>
    <w:rsid w:val="00F56500"/>
    <w:rsid w:val="00F56D59"/>
    <w:rsid w:val="00F570F5"/>
    <w:rsid w:val="00F57312"/>
    <w:rsid w:val="00F57559"/>
    <w:rsid w:val="00F57855"/>
    <w:rsid w:val="00F60163"/>
    <w:rsid w:val="00F60506"/>
    <w:rsid w:val="00F60874"/>
    <w:rsid w:val="00F62FEC"/>
    <w:rsid w:val="00F64621"/>
    <w:rsid w:val="00F659FE"/>
    <w:rsid w:val="00F65E3A"/>
    <w:rsid w:val="00F67F5E"/>
    <w:rsid w:val="00F7008F"/>
    <w:rsid w:val="00F7016A"/>
    <w:rsid w:val="00F70450"/>
    <w:rsid w:val="00F7094B"/>
    <w:rsid w:val="00F718B1"/>
    <w:rsid w:val="00F73379"/>
    <w:rsid w:val="00F772CA"/>
    <w:rsid w:val="00F772E2"/>
    <w:rsid w:val="00F77576"/>
    <w:rsid w:val="00F7780F"/>
    <w:rsid w:val="00F77A77"/>
    <w:rsid w:val="00F825EB"/>
    <w:rsid w:val="00F82DC9"/>
    <w:rsid w:val="00F830CC"/>
    <w:rsid w:val="00F8319F"/>
    <w:rsid w:val="00F845AB"/>
    <w:rsid w:val="00F8495D"/>
    <w:rsid w:val="00F856DB"/>
    <w:rsid w:val="00F85CA8"/>
    <w:rsid w:val="00F874C4"/>
    <w:rsid w:val="00F87AA6"/>
    <w:rsid w:val="00F9033B"/>
    <w:rsid w:val="00F90ACA"/>
    <w:rsid w:val="00F91585"/>
    <w:rsid w:val="00F91D69"/>
    <w:rsid w:val="00F93456"/>
    <w:rsid w:val="00F93D5D"/>
    <w:rsid w:val="00F95817"/>
    <w:rsid w:val="00F958D8"/>
    <w:rsid w:val="00F96737"/>
    <w:rsid w:val="00FA0157"/>
    <w:rsid w:val="00FA091D"/>
    <w:rsid w:val="00FA1B49"/>
    <w:rsid w:val="00FA265A"/>
    <w:rsid w:val="00FA29A8"/>
    <w:rsid w:val="00FA3331"/>
    <w:rsid w:val="00FA3500"/>
    <w:rsid w:val="00FA4C34"/>
    <w:rsid w:val="00FA52C8"/>
    <w:rsid w:val="00FA681F"/>
    <w:rsid w:val="00FA7C79"/>
    <w:rsid w:val="00FB20BC"/>
    <w:rsid w:val="00FB2918"/>
    <w:rsid w:val="00FB2F47"/>
    <w:rsid w:val="00FB3F16"/>
    <w:rsid w:val="00FB4342"/>
    <w:rsid w:val="00FB5B7E"/>
    <w:rsid w:val="00FB5F07"/>
    <w:rsid w:val="00FB6B35"/>
    <w:rsid w:val="00FB7F22"/>
    <w:rsid w:val="00FC262F"/>
    <w:rsid w:val="00FC3C6A"/>
    <w:rsid w:val="00FC4CDA"/>
    <w:rsid w:val="00FC5B4B"/>
    <w:rsid w:val="00FC6DB6"/>
    <w:rsid w:val="00FC78DD"/>
    <w:rsid w:val="00FC7AF5"/>
    <w:rsid w:val="00FD3EEC"/>
    <w:rsid w:val="00FD427A"/>
    <w:rsid w:val="00FD5962"/>
    <w:rsid w:val="00FD707C"/>
    <w:rsid w:val="00FE08F2"/>
    <w:rsid w:val="00FE09B3"/>
    <w:rsid w:val="00FE0FBC"/>
    <w:rsid w:val="00FE166D"/>
    <w:rsid w:val="00FE199D"/>
    <w:rsid w:val="00FE24CE"/>
    <w:rsid w:val="00FE2E28"/>
    <w:rsid w:val="00FE361A"/>
    <w:rsid w:val="00FE374C"/>
    <w:rsid w:val="00FE40B0"/>
    <w:rsid w:val="00FE4D65"/>
    <w:rsid w:val="00FE5A61"/>
    <w:rsid w:val="00FE5FD2"/>
    <w:rsid w:val="00FE6331"/>
    <w:rsid w:val="00FE77B8"/>
    <w:rsid w:val="00FF024F"/>
    <w:rsid w:val="00FF1101"/>
    <w:rsid w:val="00FF197C"/>
    <w:rsid w:val="00FF2739"/>
    <w:rsid w:val="00FF3CB1"/>
    <w:rsid w:val="00FF616C"/>
    <w:rsid w:val="00FF78F4"/>
    <w:rsid w:val="00FF7A5F"/>
    <w:rsid w:val="00FF7E7C"/>
    <w:rsid w:val="0112244E"/>
    <w:rsid w:val="01447066"/>
    <w:rsid w:val="05654FAA"/>
    <w:rsid w:val="057A167D"/>
    <w:rsid w:val="08CE322E"/>
    <w:rsid w:val="0B520281"/>
    <w:rsid w:val="0C1A784C"/>
    <w:rsid w:val="0E1C78AB"/>
    <w:rsid w:val="0E4934D2"/>
    <w:rsid w:val="0F4C0664"/>
    <w:rsid w:val="111747A3"/>
    <w:rsid w:val="139B3968"/>
    <w:rsid w:val="1667154F"/>
    <w:rsid w:val="16B805FE"/>
    <w:rsid w:val="176C53FF"/>
    <w:rsid w:val="188F7495"/>
    <w:rsid w:val="194E3656"/>
    <w:rsid w:val="1B0A32EA"/>
    <w:rsid w:val="1B405ACB"/>
    <w:rsid w:val="1D706605"/>
    <w:rsid w:val="1DAC5E21"/>
    <w:rsid w:val="1EBF7A68"/>
    <w:rsid w:val="1F28557B"/>
    <w:rsid w:val="2039253E"/>
    <w:rsid w:val="21197EDC"/>
    <w:rsid w:val="21E5387D"/>
    <w:rsid w:val="21E604A4"/>
    <w:rsid w:val="22C73E32"/>
    <w:rsid w:val="232C638A"/>
    <w:rsid w:val="23396347"/>
    <w:rsid w:val="245D0744"/>
    <w:rsid w:val="248E6BDF"/>
    <w:rsid w:val="25573190"/>
    <w:rsid w:val="260C45E7"/>
    <w:rsid w:val="26863122"/>
    <w:rsid w:val="26AA4B42"/>
    <w:rsid w:val="26C0541C"/>
    <w:rsid w:val="27086E79"/>
    <w:rsid w:val="270F5DA7"/>
    <w:rsid w:val="278447C3"/>
    <w:rsid w:val="2A2E0C3A"/>
    <w:rsid w:val="2AF177D1"/>
    <w:rsid w:val="2B4A7D30"/>
    <w:rsid w:val="2B9C338D"/>
    <w:rsid w:val="2BBE43B8"/>
    <w:rsid w:val="2BC832F3"/>
    <w:rsid w:val="2DBB752F"/>
    <w:rsid w:val="2EB6077A"/>
    <w:rsid w:val="2F14093F"/>
    <w:rsid w:val="2FA20EA8"/>
    <w:rsid w:val="308E232B"/>
    <w:rsid w:val="310E1FE2"/>
    <w:rsid w:val="311B45FA"/>
    <w:rsid w:val="316B4522"/>
    <w:rsid w:val="32DA195F"/>
    <w:rsid w:val="33922BC1"/>
    <w:rsid w:val="35C36B07"/>
    <w:rsid w:val="37701980"/>
    <w:rsid w:val="379F192A"/>
    <w:rsid w:val="38381CF1"/>
    <w:rsid w:val="3AA6221F"/>
    <w:rsid w:val="3AFC006B"/>
    <w:rsid w:val="3B4958D4"/>
    <w:rsid w:val="3CD94B9C"/>
    <w:rsid w:val="3E01366C"/>
    <w:rsid w:val="3E615979"/>
    <w:rsid w:val="3E8E49EC"/>
    <w:rsid w:val="3F3423F7"/>
    <w:rsid w:val="3F572AFA"/>
    <w:rsid w:val="40A34653"/>
    <w:rsid w:val="44216832"/>
    <w:rsid w:val="44F10C6D"/>
    <w:rsid w:val="46644DE8"/>
    <w:rsid w:val="479B1265"/>
    <w:rsid w:val="48783354"/>
    <w:rsid w:val="4AB42F1C"/>
    <w:rsid w:val="4B423DF9"/>
    <w:rsid w:val="4B4439C2"/>
    <w:rsid w:val="4B4E7D13"/>
    <w:rsid w:val="4C4243A5"/>
    <w:rsid w:val="4DB27309"/>
    <w:rsid w:val="5151351A"/>
    <w:rsid w:val="520F5383"/>
    <w:rsid w:val="55176E8E"/>
    <w:rsid w:val="596845C8"/>
    <w:rsid w:val="59CB0001"/>
    <w:rsid w:val="5ACC1566"/>
    <w:rsid w:val="5C0D57A6"/>
    <w:rsid w:val="5C6E2434"/>
    <w:rsid w:val="5D3A6160"/>
    <w:rsid w:val="5DDE1A54"/>
    <w:rsid w:val="5E127764"/>
    <w:rsid w:val="5EA842DD"/>
    <w:rsid w:val="5EC8284B"/>
    <w:rsid w:val="5F0571E3"/>
    <w:rsid w:val="60C677C2"/>
    <w:rsid w:val="623C1C3A"/>
    <w:rsid w:val="62936BB9"/>
    <w:rsid w:val="649B38EB"/>
    <w:rsid w:val="66521C04"/>
    <w:rsid w:val="676F58C1"/>
    <w:rsid w:val="6AFD0B7C"/>
    <w:rsid w:val="6CF43042"/>
    <w:rsid w:val="6E4E4662"/>
    <w:rsid w:val="6FA50623"/>
    <w:rsid w:val="6FAE206B"/>
    <w:rsid w:val="6FB04FF4"/>
    <w:rsid w:val="6FD771BD"/>
    <w:rsid w:val="701E45EC"/>
    <w:rsid w:val="70621887"/>
    <w:rsid w:val="734213E2"/>
    <w:rsid w:val="735E14A4"/>
    <w:rsid w:val="73FE2593"/>
    <w:rsid w:val="76F0487A"/>
    <w:rsid w:val="79815C5D"/>
    <w:rsid w:val="7A532D31"/>
    <w:rsid w:val="7B5C1FE6"/>
    <w:rsid w:val="7D4B14A7"/>
    <w:rsid w:val="7E363C42"/>
    <w:rsid w:val="7EAD552E"/>
    <w:rsid w:val="7FD77C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ocked="1"/>
    <w:lsdException w:qFormat="1" w:unhideWhenUsed="0" w:uiPriority="39" w:semiHidden="0" w:name="toc 5" w:locked="1"/>
    <w:lsdException w:qFormat="1" w:unhideWhenUsed="0" w:uiPriority="39" w:semiHidden="0" w:name="toc 6" w:locked="1"/>
    <w:lsdException w:qFormat="1" w:unhideWhenUsed="0" w:uiPriority="39" w:semiHidden="0" w:name="toc 7" w:locked="1"/>
    <w:lsdException w:qFormat="1" w:unhideWhenUsed="0" w:uiPriority="39" w:semiHidden="0" w:name="toc 8" w:locked="1"/>
    <w:lsdException w:qFormat="1" w:unhideWhenUsed="0" w:uiPriority="39" w:semiHidden="0" w:name="toc 9" w:locked="1"/>
    <w:lsdException w:uiPriority="99" w:name="Normal Indent" w:locked="1"/>
    <w:lsdException w:qFormat="1"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qFormat="1"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qFormat="1" w:uiPriority="99" w:name="endnote reference" w:locked="1"/>
    <w:lsdException w:qFormat="1"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1"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sdException w:uiPriority="99" w:name="Plain Text" w:locked="1"/>
    <w:lsdException w:uiPriority="99" w:name="E-mail Signature" w:locked="1"/>
    <w:lsdException w:qFormat="1"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57"/>
    <w:qFormat/>
    <w:uiPriority w:val="99"/>
    <w:pPr>
      <w:keepNext/>
      <w:keepLines/>
      <w:spacing w:line="720" w:lineRule="auto"/>
      <w:ind w:firstLine="0" w:firstLineChars="0"/>
      <w:outlineLvl w:val="0"/>
    </w:pPr>
    <w:rPr>
      <w:rFonts w:ascii="黑体" w:hAnsi="黑体" w:eastAsia="黑体"/>
      <w:kern w:val="44"/>
      <w:szCs w:val="20"/>
    </w:rPr>
  </w:style>
  <w:style w:type="paragraph" w:styleId="3">
    <w:name w:val="heading 2"/>
    <w:basedOn w:val="1"/>
    <w:next w:val="1"/>
    <w:link w:val="43"/>
    <w:qFormat/>
    <w:uiPriority w:val="99"/>
    <w:pPr>
      <w:keepNext/>
      <w:keepLines/>
      <w:ind w:firstLine="0" w:firstLineChars="0"/>
      <w:outlineLvl w:val="1"/>
    </w:pPr>
    <w:rPr>
      <w:rFonts w:ascii="黑体" w:hAnsi="黑体" w:eastAsia="黑体"/>
      <w:kern w:val="0"/>
      <w:szCs w:val="20"/>
    </w:rPr>
  </w:style>
  <w:style w:type="paragraph" w:styleId="4">
    <w:name w:val="heading 3"/>
    <w:basedOn w:val="1"/>
    <w:next w:val="1"/>
    <w:link w:val="56"/>
    <w:qFormat/>
    <w:uiPriority w:val="99"/>
    <w:pPr>
      <w:keepNext/>
      <w:keepLines/>
      <w:spacing w:before="260" w:after="260" w:line="416" w:lineRule="auto"/>
      <w:outlineLvl w:val="2"/>
    </w:pPr>
    <w:rPr>
      <w:rFonts w:ascii="Calibri" w:hAnsi="Calibri"/>
      <w:b/>
      <w:kern w:val="0"/>
      <w:sz w:val="32"/>
      <w:szCs w:val="20"/>
    </w:rPr>
  </w:style>
  <w:style w:type="paragraph" w:styleId="5">
    <w:name w:val="heading 4"/>
    <w:basedOn w:val="1"/>
    <w:next w:val="1"/>
    <w:link w:val="48"/>
    <w:qFormat/>
    <w:uiPriority w:val="99"/>
    <w:pPr>
      <w:keepNext/>
      <w:keepLines/>
      <w:spacing w:before="280" w:after="290" w:line="376" w:lineRule="auto"/>
      <w:outlineLvl w:val="3"/>
    </w:pPr>
    <w:rPr>
      <w:rFonts w:ascii="Cambria" w:hAnsi="Cambria"/>
      <w:b/>
      <w:kern w:val="0"/>
      <w:sz w:val="28"/>
      <w:szCs w:val="20"/>
    </w:rPr>
  </w:style>
  <w:style w:type="paragraph" w:styleId="6">
    <w:name w:val="heading 5"/>
    <w:basedOn w:val="1"/>
    <w:next w:val="1"/>
    <w:link w:val="42"/>
    <w:qFormat/>
    <w:uiPriority w:val="99"/>
    <w:pPr>
      <w:keepNext/>
      <w:keepLines/>
      <w:spacing w:before="280" w:after="290" w:line="376" w:lineRule="auto"/>
      <w:outlineLvl w:val="4"/>
    </w:pPr>
    <w:rPr>
      <w:rFonts w:ascii="Calibri" w:hAnsi="Calibri"/>
      <w:b/>
      <w:kern w:val="0"/>
      <w:sz w:val="28"/>
      <w:szCs w:val="20"/>
    </w:rPr>
  </w:style>
  <w:style w:type="paragraph" w:styleId="7">
    <w:name w:val="heading 6"/>
    <w:basedOn w:val="1"/>
    <w:next w:val="1"/>
    <w:link w:val="47"/>
    <w:qFormat/>
    <w:locked/>
    <w:uiPriority w:val="99"/>
    <w:pPr>
      <w:keepNext/>
      <w:keepLines/>
      <w:spacing w:before="240" w:after="64" w:line="320" w:lineRule="auto"/>
      <w:outlineLvl w:val="5"/>
    </w:pPr>
    <w:rPr>
      <w:rFonts w:ascii="Cambria" w:hAnsi="Cambria"/>
      <w:b/>
      <w:sz w:val="24"/>
      <w:szCs w:val="20"/>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qFormat/>
    <w:locked/>
    <w:uiPriority w:val="39"/>
    <w:pPr>
      <w:ind w:left="2520" w:leftChars="1200"/>
    </w:pPr>
  </w:style>
  <w:style w:type="paragraph" w:styleId="9">
    <w:name w:val="caption"/>
    <w:basedOn w:val="1"/>
    <w:next w:val="1"/>
    <w:semiHidden/>
    <w:unhideWhenUsed/>
    <w:qFormat/>
    <w:locked/>
    <w:uiPriority w:val="35"/>
    <w:rPr>
      <w:rFonts w:ascii="Arial" w:hAnsi="Arial" w:eastAsia="黑体"/>
      <w:sz w:val="20"/>
    </w:rPr>
  </w:style>
  <w:style w:type="paragraph" w:styleId="10">
    <w:name w:val="Document Map"/>
    <w:basedOn w:val="1"/>
    <w:link w:val="55"/>
    <w:semiHidden/>
    <w:qFormat/>
    <w:uiPriority w:val="99"/>
    <w:rPr>
      <w:rFonts w:ascii="宋体" w:hAnsi="Calibri"/>
      <w:kern w:val="0"/>
      <w:sz w:val="18"/>
      <w:szCs w:val="20"/>
    </w:rPr>
  </w:style>
  <w:style w:type="paragraph" w:styleId="11">
    <w:name w:val="annotation text"/>
    <w:basedOn w:val="1"/>
    <w:link w:val="49"/>
    <w:semiHidden/>
    <w:qFormat/>
    <w:uiPriority w:val="99"/>
    <w:pPr>
      <w:jc w:val="left"/>
    </w:pPr>
    <w:rPr>
      <w:rFonts w:ascii="Calibri" w:hAnsi="Calibri"/>
      <w:kern w:val="0"/>
      <w:sz w:val="20"/>
      <w:szCs w:val="20"/>
    </w:rPr>
  </w:style>
  <w:style w:type="paragraph" w:styleId="12">
    <w:name w:val="Body Text"/>
    <w:basedOn w:val="1"/>
    <w:link w:val="66"/>
    <w:qFormat/>
    <w:locked/>
    <w:uiPriority w:val="1"/>
    <w:pPr>
      <w:spacing w:before="109"/>
      <w:ind w:left="120"/>
      <w:jc w:val="left"/>
    </w:pPr>
    <w:rPr>
      <w:rFonts w:ascii="宋体" w:hAnsi="宋体"/>
      <w:kern w:val="0"/>
      <w:szCs w:val="21"/>
      <w:lang w:eastAsia="en-US"/>
    </w:rPr>
  </w:style>
  <w:style w:type="paragraph" w:styleId="13">
    <w:name w:val="toc 5"/>
    <w:basedOn w:val="1"/>
    <w:next w:val="1"/>
    <w:qFormat/>
    <w:locked/>
    <w:uiPriority w:val="39"/>
    <w:pPr>
      <w:ind w:left="1680" w:leftChars="800"/>
    </w:pPr>
  </w:style>
  <w:style w:type="paragraph" w:styleId="14">
    <w:name w:val="toc 3"/>
    <w:basedOn w:val="1"/>
    <w:next w:val="1"/>
    <w:qFormat/>
    <w:uiPriority w:val="39"/>
    <w:pPr>
      <w:ind w:left="840" w:leftChars="400"/>
    </w:pPr>
  </w:style>
  <w:style w:type="paragraph" w:styleId="15">
    <w:name w:val="toc 8"/>
    <w:basedOn w:val="1"/>
    <w:next w:val="1"/>
    <w:qFormat/>
    <w:locked/>
    <w:uiPriority w:val="39"/>
    <w:pPr>
      <w:ind w:left="2940" w:leftChars="1400"/>
    </w:pPr>
  </w:style>
  <w:style w:type="paragraph" w:styleId="16">
    <w:name w:val="Date"/>
    <w:basedOn w:val="1"/>
    <w:next w:val="1"/>
    <w:link w:val="45"/>
    <w:semiHidden/>
    <w:qFormat/>
    <w:uiPriority w:val="99"/>
    <w:pPr>
      <w:ind w:left="100" w:leftChars="2500"/>
    </w:pPr>
    <w:rPr>
      <w:rFonts w:ascii="Calibri" w:hAnsi="Calibri"/>
      <w:kern w:val="0"/>
      <w:sz w:val="20"/>
      <w:szCs w:val="20"/>
    </w:rPr>
  </w:style>
  <w:style w:type="paragraph" w:styleId="17">
    <w:name w:val="endnote text"/>
    <w:basedOn w:val="1"/>
    <w:link w:val="73"/>
    <w:semiHidden/>
    <w:unhideWhenUsed/>
    <w:qFormat/>
    <w:locked/>
    <w:uiPriority w:val="99"/>
    <w:pPr>
      <w:snapToGrid w:val="0"/>
      <w:jc w:val="left"/>
    </w:pPr>
  </w:style>
  <w:style w:type="paragraph" w:styleId="18">
    <w:name w:val="Balloon Text"/>
    <w:basedOn w:val="1"/>
    <w:link w:val="38"/>
    <w:semiHidden/>
    <w:qFormat/>
    <w:uiPriority w:val="99"/>
    <w:rPr>
      <w:rFonts w:ascii="Calibri" w:hAnsi="Calibri"/>
      <w:kern w:val="0"/>
      <w:sz w:val="18"/>
      <w:szCs w:val="20"/>
    </w:rPr>
  </w:style>
  <w:style w:type="paragraph" w:styleId="19">
    <w:name w:val="footer"/>
    <w:basedOn w:val="1"/>
    <w:link w:val="46"/>
    <w:qFormat/>
    <w:uiPriority w:val="99"/>
    <w:pPr>
      <w:tabs>
        <w:tab w:val="center" w:pos="4153"/>
        <w:tab w:val="right" w:pos="8306"/>
      </w:tabs>
      <w:snapToGrid w:val="0"/>
      <w:jc w:val="left"/>
    </w:pPr>
    <w:rPr>
      <w:rFonts w:ascii="Calibri" w:hAnsi="Calibri"/>
      <w:kern w:val="0"/>
      <w:sz w:val="18"/>
      <w:szCs w:val="20"/>
    </w:rPr>
  </w:style>
  <w:style w:type="paragraph" w:styleId="20">
    <w:name w:val="header"/>
    <w:basedOn w:val="1"/>
    <w:link w:val="52"/>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21">
    <w:name w:val="toc 1"/>
    <w:basedOn w:val="1"/>
    <w:next w:val="1"/>
    <w:qFormat/>
    <w:uiPriority w:val="39"/>
  </w:style>
  <w:style w:type="paragraph" w:styleId="22">
    <w:name w:val="toc 4"/>
    <w:basedOn w:val="1"/>
    <w:next w:val="1"/>
    <w:qFormat/>
    <w:locked/>
    <w:uiPriority w:val="39"/>
    <w:pPr>
      <w:ind w:left="1260" w:leftChars="600"/>
    </w:pPr>
  </w:style>
  <w:style w:type="paragraph" w:styleId="23">
    <w:name w:val="footnote text"/>
    <w:basedOn w:val="1"/>
    <w:link w:val="74"/>
    <w:semiHidden/>
    <w:unhideWhenUsed/>
    <w:qFormat/>
    <w:locked/>
    <w:uiPriority w:val="99"/>
    <w:pPr>
      <w:snapToGrid w:val="0"/>
      <w:jc w:val="left"/>
    </w:pPr>
    <w:rPr>
      <w:sz w:val="18"/>
      <w:szCs w:val="18"/>
    </w:rPr>
  </w:style>
  <w:style w:type="paragraph" w:styleId="24">
    <w:name w:val="toc 6"/>
    <w:basedOn w:val="1"/>
    <w:next w:val="1"/>
    <w:qFormat/>
    <w:locked/>
    <w:uiPriority w:val="39"/>
    <w:pPr>
      <w:ind w:left="2100" w:leftChars="1000"/>
    </w:pPr>
  </w:style>
  <w:style w:type="paragraph" w:styleId="25">
    <w:name w:val="toc 2"/>
    <w:basedOn w:val="1"/>
    <w:next w:val="1"/>
    <w:qFormat/>
    <w:uiPriority w:val="39"/>
    <w:pPr>
      <w:ind w:left="420" w:leftChars="200"/>
    </w:pPr>
  </w:style>
  <w:style w:type="paragraph" w:styleId="26">
    <w:name w:val="toc 9"/>
    <w:basedOn w:val="1"/>
    <w:next w:val="1"/>
    <w:qFormat/>
    <w:locked/>
    <w:uiPriority w:val="39"/>
    <w:pPr>
      <w:ind w:left="3360" w:leftChars="1600"/>
    </w:pPr>
  </w:style>
  <w:style w:type="paragraph" w:styleId="27">
    <w:name w:val="Normal (Web)"/>
    <w:basedOn w:val="1"/>
    <w:unhideWhenUsed/>
    <w:qFormat/>
    <w:locked/>
    <w:uiPriority w:val="99"/>
    <w:rPr>
      <w:sz w:val="24"/>
    </w:rPr>
  </w:style>
  <w:style w:type="paragraph" w:styleId="28">
    <w:name w:val="annotation subject"/>
    <w:basedOn w:val="11"/>
    <w:next w:val="11"/>
    <w:link w:val="53"/>
    <w:semiHidden/>
    <w:qFormat/>
    <w:uiPriority w:val="99"/>
    <w:rPr>
      <w:b/>
    </w:rPr>
  </w:style>
  <w:style w:type="table" w:styleId="30">
    <w:name w:val="Table Grid"/>
    <w:basedOn w:val="29"/>
    <w:qFormat/>
    <w:locked/>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locked/>
    <w:uiPriority w:val="22"/>
    <w:rPr>
      <w:b/>
    </w:rPr>
  </w:style>
  <w:style w:type="character" w:styleId="33">
    <w:name w:val="endnote reference"/>
    <w:basedOn w:val="31"/>
    <w:semiHidden/>
    <w:unhideWhenUsed/>
    <w:qFormat/>
    <w:locked/>
    <w:uiPriority w:val="99"/>
    <w:rPr>
      <w:vertAlign w:val="superscript"/>
    </w:rPr>
  </w:style>
  <w:style w:type="character" w:styleId="34">
    <w:name w:val="page number"/>
    <w:qFormat/>
    <w:uiPriority w:val="99"/>
    <w:rPr>
      <w:rFonts w:cs="Times New Roman"/>
    </w:rPr>
  </w:style>
  <w:style w:type="character" w:styleId="35">
    <w:name w:val="Hyperlink"/>
    <w:qFormat/>
    <w:uiPriority w:val="99"/>
    <w:rPr>
      <w:rFonts w:cs="Times New Roman"/>
      <w:color w:val="0000FF"/>
      <w:u w:val="single"/>
    </w:rPr>
  </w:style>
  <w:style w:type="character" w:styleId="36">
    <w:name w:val="annotation reference"/>
    <w:semiHidden/>
    <w:qFormat/>
    <w:uiPriority w:val="99"/>
    <w:rPr>
      <w:rFonts w:cs="Times New Roman"/>
      <w:sz w:val="21"/>
    </w:rPr>
  </w:style>
  <w:style w:type="character" w:styleId="37">
    <w:name w:val="footnote reference"/>
    <w:basedOn w:val="31"/>
    <w:semiHidden/>
    <w:unhideWhenUsed/>
    <w:qFormat/>
    <w:locked/>
    <w:uiPriority w:val="99"/>
    <w:rPr>
      <w:vertAlign w:val="superscript"/>
    </w:rPr>
  </w:style>
  <w:style w:type="character" w:customStyle="1" w:styleId="38">
    <w:name w:val="批注框文本 字符"/>
    <w:link w:val="18"/>
    <w:semiHidden/>
    <w:qFormat/>
    <w:locked/>
    <w:uiPriority w:val="99"/>
    <w:rPr>
      <w:rFonts w:ascii="Calibri" w:hAnsi="Calibri" w:eastAsia="宋体" w:cs="Times New Roman"/>
      <w:kern w:val="0"/>
      <w:sz w:val="18"/>
    </w:rPr>
  </w:style>
  <w:style w:type="character" w:customStyle="1" w:styleId="39">
    <w:name w:val="Date Char1"/>
    <w:semiHidden/>
    <w:qFormat/>
    <w:locked/>
    <w:uiPriority w:val="99"/>
  </w:style>
  <w:style w:type="character" w:customStyle="1" w:styleId="40">
    <w:name w:val="Balloon Text Char1"/>
    <w:semiHidden/>
    <w:qFormat/>
    <w:locked/>
    <w:uiPriority w:val="99"/>
    <w:rPr>
      <w:sz w:val="2"/>
    </w:rPr>
  </w:style>
  <w:style w:type="character" w:customStyle="1" w:styleId="41">
    <w:name w:val="Comment Text Char1"/>
    <w:semiHidden/>
    <w:qFormat/>
    <w:locked/>
    <w:uiPriority w:val="99"/>
  </w:style>
  <w:style w:type="character" w:customStyle="1" w:styleId="42">
    <w:name w:val="标题 5 字符"/>
    <w:link w:val="6"/>
    <w:qFormat/>
    <w:locked/>
    <w:uiPriority w:val="99"/>
    <w:rPr>
      <w:rFonts w:ascii="Calibri" w:hAnsi="Calibri" w:eastAsia="宋体" w:cs="Times New Roman"/>
      <w:b/>
      <w:kern w:val="0"/>
      <w:sz w:val="28"/>
    </w:rPr>
  </w:style>
  <w:style w:type="character" w:customStyle="1" w:styleId="43">
    <w:name w:val="标题 2 字符"/>
    <w:link w:val="3"/>
    <w:qFormat/>
    <w:locked/>
    <w:uiPriority w:val="99"/>
    <w:rPr>
      <w:rFonts w:ascii="黑体" w:hAnsi="黑体" w:eastAsia="黑体" w:cs="Times New Roman"/>
      <w:kern w:val="0"/>
      <w:sz w:val="21"/>
    </w:rPr>
  </w:style>
  <w:style w:type="character" w:customStyle="1" w:styleId="44">
    <w:name w:val="Comment Subject Char1"/>
    <w:semiHidden/>
    <w:qFormat/>
    <w:locked/>
    <w:uiPriority w:val="99"/>
    <w:rPr>
      <w:rFonts w:ascii="Calibri" w:hAnsi="Calibri" w:eastAsia="宋体"/>
      <w:b/>
      <w:kern w:val="0"/>
      <w:sz w:val="20"/>
    </w:rPr>
  </w:style>
  <w:style w:type="character" w:customStyle="1" w:styleId="45">
    <w:name w:val="日期 字符"/>
    <w:link w:val="16"/>
    <w:semiHidden/>
    <w:qFormat/>
    <w:locked/>
    <w:uiPriority w:val="99"/>
    <w:rPr>
      <w:rFonts w:ascii="Calibri" w:hAnsi="Calibri" w:eastAsia="宋体" w:cs="Times New Roman"/>
      <w:kern w:val="0"/>
      <w:sz w:val="20"/>
    </w:rPr>
  </w:style>
  <w:style w:type="character" w:customStyle="1" w:styleId="46">
    <w:name w:val="页脚 字符"/>
    <w:link w:val="19"/>
    <w:qFormat/>
    <w:locked/>
    <w:uiPriority w:val="99"/>
    <w:rPr>
      <w:rFonts w:ascii="Calibri" w:hAnsi="Calibri" w:eastAsia="宋体" w:cs="Times New Roman"/>
      <w:kern w:val="0"/>
      <w:sz w:val="18"/>
    </w:rPr>
  </w:style>
  <w:style w:type="character" w:customStyle="1" w:styleId="47">
    <w:name w:val="标题 6 字符"/>
    <w:link w:val="7"/>
    <w:qFormat/>
    <w:locked/>
    <w:uiPriority w:val="99"/>
    <w:rPr>
      <w:rFonts w:ascii="Cambria" w:hAnsi="Cambria" w:eastAsia="宋体" w:cs="Times New Roman"/>
      <w:b/>
      <w:kern w:val="2"/>
      <w:sz w:val="24"/>
    </w:rPr>
  </w:style>
  <w:style w:type="character" w:customStyle="1" w:styleId="48">
    <w:name w:val="标题 4 字符"/>
    <w:link w:val="5"/>
    <w:qFormat/>
    <w:locked/>
    <w:uiPriority w:val="99"/>
    <w:rPr>
      <w:rFonts w:ascii="Cambria" w:hAnsi="Cambria" w:eastAsia="宋体" w:cs="Times New Roman"/>
      <w:b/>
      <w:kern w:val="0"/>
      <w:sz w:val="28"/>
    </w:rPr>
  </w:style>
  <w:style w:type="character" w:customStyle="1" w:styleId="49">
    <w:name w:val="批注文字 字符1"/>
    <w:link w:val="11"/>
    <w:semiHidden/>
    <w:qFormat/>
    <w:locked/>
    <w:uiPriority w:val="99"/>
    <w:rPr>
      <w:rFonts w:ascii="Calibri" w:hAnsi="Calibri" w:eastAsia="宋体" w:cs="Times New Roman"/>
      <w:kern w:val="0"/>
      <w:sz w:val="20"/>
    </w:rPr>
  </w:style>
  <w:style w:type="character" w:customStyle="1" w:styleId="50">
    <w:name w:val="样式 首行缩进:  2 字符 Char Char"/>
    <w:link w:val="51"/>
    <w:qFormat/>
    <w:locked/>
    <w:uiPriority w:val="99"/>
    <w:rPr>
      <w:sz w:val="24"/>
    </w:rPr>
  </w:style>
  <w:style w:type="paragraph" w:customStyle="1" w:styleId="51">
    <w:name w:val="样式 首行缩进:  2 字符"/>
    <w:basedOn w:val="1"/>
    <w:link w:val="50"/>
    <w:qFormat/>
    <w:uiPriority w:val="99"/>
    <w:pPr>
      <w:spacing w:line="400" w:lineRule="exact"/>
      <w:ind w:firstLine="200"/>
    </w:pPr>
    <w:rPr>
      <w:kern w:val="0"/>
      <w:sz w:val="24"/>
      <w:szCs w:val="20"/>
    </w:rPr>
  </w:style>
  <w:style w:type="character" w:customStyle="1" w:styleId="52">
    <w:name w:val="页眉 字符"/>
    <w:link w:val="20"/>
    <w:qFormat/>
    <w:locked/>
    <w:uiPriority w:val="99"/>
    <w:rPr>
      <w:rFonts w:ascii="Calibri" w:hAnsi="Calibri" w:eastAsia="宋体" w:cs="Times New Roman"/>
      <w:kern w:val="0"/>
      <w:sz w:val="18"/>
    </w:rPr>
  </w:style>
  <w:style w:type="character" w:customStyle="1" w:styleId="53">
    <w:name w:val="批注主题 字符"/>
    <w:link w:val="28"/>
    <w:semiHidden/>
    <w:qFormat/>
    <w:locked/>
    <w:uiPriority w:val="99"/>
    <w:rPr>
      <w:rFonts w:ascii="Calibri" w:hAnsi="Calibri" w:eastAsia="宋体" w:cs="Times New Roman"/>
      <w:b/>
      <w:kern w:val="0"/>
      <w:sz w:val="20"/>
    </w:rPr>
  </w:style>
  <w:style w:type="character" w:customStyle="1" w:styleId="54">
    <w:name w:val="Document Map Char1"/>
    <w:semiHidden/>
    <w:qFormat/>
    <w:locked/>
    <w:uiPriority w:val="99"/>
    <w:rPr>
      <w:rFonts w:ascii="Times New Roman" w:hAnsi="Times New Roman"/>
      <w:sz w:val="2"/>
    </w:rPr>
  </w:style>
  <w:style w:type="character" w:customStyle="1" w:styleId="55">
    <w:name w:val="文档结构图 字符"/>
    <w:link w:val="10"/>
    <w:semiHidden/>
    <w:qFormat/>
    <w:locked/>
    <w:uiPriority w:val="99"/>
    <w:rPr>
      <w:rFonts w:ascii="宋体" w:hAnsi="Calibri" w:eastAsia="宋体" w:cs="Times New Roman"/>
      <w:kern w:val="0"/>
      <w:sz w:val="18"/>
    </w:rPr>
  </w:style>
  <w:style w:type="character" w:customStyle="1" w:styleId="56">
    <w:name w:val="标题 3 字符"/>
    <w:link w:val="4"/>
    <w:qFormat/>
    <w:locked/>
    <w:uiPriority w:val="99"/>
    <w:rPr>
      <w:rFonts w:ascii="Calibri" w:hAnsi="Calibri" w:eastAsia="宋体" w:cs="Times New Roman"/>
      <w:b/>
      <w:kern w:val="0"/>
      <w:sz w:val="32"/>
    </w:rPr>
  </w:style>
  <w:style w:type="character" w:customStyle="1" w:styleId="57">
    <w:name w:val="标题 1 字符"/>
    <w:link w:val="2"/>
    <w:qFormat/>
    <w:locked/>
    <w:uiPriority w:val="99"/>
    <w:rPr>
      <w:rFonts w:ascii="黑体" w:hAnsi="黑体" w:eastAsia="黑体" w:cs="Times New Roman"/>
      <w:kern w:val="44"/>
      <w:sz w:val="21"/>
    </w:rPr>
  </w:style>
  <w:style w:type="paragraph" w:customStyle="1" w:styleId="58">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59">
    <w:name w:val="List Paragraph"/>
    <w:basedOn w:val="1"/>
    <w:qFormat/>
    <w:uiPriority w:val="99"/>
  </w:style>
  <w:style w:type="paragraph" w:customStyle="1" w:styleId="60">
    <w:name w:val="TOC 标题1"/>
    <w:basedOn w:val="2"/>
    <w:next w:val="1"/>
    <w:qFormat/>
    <w:uiPriority w:val="99"/>
    <w:pPr>
      <w:widowControl/>
      <w:spacing w:before="480" w:line="276" w:lineRule="auto"/>
      <w:jc w:val="left"/>
      <w:outlineLvl w:val="9"/>
    </w:pPr>
    <w:rPr>
      <w:rFonts w:ascii="Cambria" w:hAnsi="Cambria"/>
      <w:color w:val="365F91"/>
      <w:kern w:val="0"/>
      <w:sz w:val="28"/>
      <w:szCs w:val="28"/>
    </w:rPr>
  </w:style>
  <w:style w:type="paragraph" w:customStyle="1" w:styleId="61">
    <w:name w:val="列出段落1"/>
    <w:basedOn w:val="1"/>
    <w:qFormat/>
    <w:uiPriority w:val="99"/>
  </w:style>
  <w:style w:type="paragraph" w:customStyle="1" w:styleId="62">
    <w:name w:val="列出段落11"/>
    <w:basedOn w:val="1"/>
    <w:qFormat/>
    <w:uiPriority w:val="99"/>
    <w:rPr>
      <w:rFonts w:cs="黑体"/>
    </w:rPr>
  </w:style>
  <w:style w:type="paragraph" w:customStyle="1" w:styleId="63">
    <w:name w:val="项目正文"/>
    <w:basedOn w:val="1"/>
    <w:qFormat/>
    <w:uiPriority w:val="99"/>
    <w:rPr>
      <w:rFonts w:cs="宋体"/>
      <w:sz w:val="24"/>
      <w:szCs w:val="20"/>
    </w:rPr>
  </w:style>
  <w:style w:type="paragraph" w:customStyle="1" w:styleId="64">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65">
    <w:name w:val="正文文本 字符"/>
    <w:basedOn w:val="31"/>
    <w:semiHidden/>
    <w:qFormat/>
    <w:uiPriority w:val="99"/>
    <w:rPr>
      <w:kern w:val="2"/>
      <w:sz w:val="21"/>
      <w:szCs w:val="22"/>
    </w:rPr>
  </w:style>
  <w:style w:type="character" w:customStyle="1" w:styleId="66">
    <w:name w:val="正文文本 字符1"/>
    <w:link w:val="12"/>
    <w:qFormat/>
    <w:uiPriority w:val="1"/>
    <w:rPr>
      <w:rFonts w:ascii="宋体" w:hAnsi="宋体"/>
      <w:sz w:val="21"/>
      <w:szCs w:val="21"/>
      <w:lang w:eastAsia="en-US"/>
    </w:rPr>
  </w:style>
  <w:style w:type="paragraph" w:customStyle="1" w:styleId="67">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8">
    <w:name w:val="修订1"/>
    <w:hidden/>
    <w:semiHidden/>
    <w:qFormat/>
    <w:uiPriority w:val="99"/>
    <w:rPr>
      <w:rFonts w:ascii="Times New Roman" w:hAnsi="Times New Roman" w:eastAsia="宋体" w:cs="Times New Roman"/>
      <w:kern w:val="2"/>
      <w:sz w:val="21"/>
      <w:szCs w:val="22"/>
      <w:lang w:val="en-US" w:eastAsia="zh-CN" w:bidi="ar-SA"/>
    </w:rPr>
  </w:style>
  <w:style w:type="paragraph" w:customStyle="1" w:styleId="6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70">
    <w:name w:val="未处理的提及1"/>
    <w:basedOn w:val="31"/>
    <w:semiHidden/>
    <w:unhideWhenUsed/>
    <w:qFormat/>
    <w:uiPriority w:val="99"/>
    <w:rPr>
      <w:color w:val="808080"/>
      <w:shd w:val="clear" w:color="auto" w:fill="E6E6E6"/>
    </w:rPr>
  </w:style>
  <w:style w:type="paragraph" w:customStyle="1" w:styleId="71">
    <w:name w:val="正文1"/>
    <w:link w:val="72"/>
    <w:qFormat/>
    <w:uiPriority w:val="0"/>
    <w:pPr>
      <w:spacing w:line="360" w:lineRule="auto"/>
      <w:ind w:firstLine="480" w:firstLineChars="200"/>
    </w:pPr>
    <w:rPr>
      <w:rFonts w:ascii="Times New Roman" w:hAnsi="Times New Roman" w:eastAsia="宋体" w:cs="Times New Roman"/>
      <w:sz w:val="24"/>
      <w:lang w:val="en-US" w:eastAsia="zh-CN" w:bidi="ar-SA"/>
    </w:rPr>
  </w:style>
  <w:style w:type="character" w:customStyle="1" w:styleId="72">
    <w:name w:val="正文 Char"/>
    <w:basedOn w:val="31"/>
    <w:link w:val="71"/>
    <w:qFormat/>
    <w:uiPriority w:val="0"/>
    <w:rPr>
      <w:sz w:val="24"/>
      <w:lang w:val="en-US" w:eastAsia="zh-CN" w:bidi="ar-SA"/>
    </w:rPr>
  </w:style>
  <w:style w:type="character" w:customStyle="1" w:styleId="73">
    <w:name w:val="尾注文本 字符"/>
    <w:basedOn w:val="31"/>
    <w:link w:val="17"/>
    <w:semiHidden/>
    <w:qFormat/>
    <w:uiPriority w:val="99"/>
    <w:rPr>
      <w:kern w:val="2"/>
      <w:sz w:val="21"/>
      <w:szCs w:val="22"/>
    </w:rPr>
  </w:style>
  <w:style w:type="character" w:customStyle="1" w:styleId="74">
    <w:name w:val="脚注文本 字符"/>
    <w:basedOn w:val="31"/>
    <w:link w:val="23"/>
    <w:semiHidden/>
    <w:qFormat/>
    <w:uiPriority w:val="99"/>
    <w:rPr>
      <w:kern w:val="2"/>
      <w:sz w:val="18"/>
      <w:szCs w:val="18"/>
    </w:rPr>
  </w:style>
  <w:style w:type="paragraph" w:customStyle="1" w:styleId="75">
    <w:name w:val="文字"/>
    <w:basedOn w:val="1"/>
    <w:qFormat/>
    <w:uiPriority w:val="99"/>
    <w:pPr>
      <w:widowControl/>
      <w:spacing w:afterLines="50"/>
    </w:pPr>
    <w:rPr>
      <w:kern w:val="0"/>
      <w:sz w:val="24"/>
      <w:szCs w:val="24"/>
    </w:rPr>
  </w:style>
  <w:style w:type="character" w:customStyle="1" w:styleId="76">
    <w:name w:val="批注文字 字符"/>
    <w:semiHidden/>
    <w:qFormat/>
    <w:locked/>
    <w:uiPriority w:val="99"/>
    <w:rPr>
      <w:rFonts w:ascii="Calibri" w:hAnsi="Calibri" w:eastAsia="宋体" w:cs="Times New Roman"/>
      <w:kern w:val="0"/>
      <w:sz w:val="20"/>
    </w:rPr>
  </w:style>
  <w:style w:type="paragraph" w:customStyle="1" w:styleId="77">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78">
    <w:name w:val="其他发布部门"/>
    <w:basedOn w:val="79"/>
    <w:qFormat/>
    <w:uiPriority w:val="0"/>
    <w:pPr>
      <w:framePr w:wrap="around" w:y="15310"/>
      <w:spacing w:line="0" w:lineRule="atLeast"/>
    </w:pPr>
    <w:rPr>
      <w:rFonts w:ascii="黑体" w:eastAsia="黑体"/>
      <w:b w:val="0"/>
    </w:rPr>
  </w:style>
  <w:style w:type="paragraph" w:customStyle="1" w:styleId="79">
    <w:name w:val="发布部门"/>
    <w:next w:val="69"/>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character" w:customStyle="1" w:styleId="80">
    <w:name w:val="发布"/>
    <w:basedOn w:val="31"/>
    <w:qFormat/>
    <w:uiPriority w:val="0"/>
    <w:rPr>
      <w:rFonts w:ascii="黑体" w:eastAsia="黑体"/>
      <w:spacing w:val="85"/>
      <w:w w:val="100"/>
      <w:position w:val="3"/>
      <w:sz w:val="28"/>
      <w:szCs w:val="28"/>
    </w:rPr>
  </w:style>
  <w:style w:type="paragraph" w:customStyle="1" w:styleId="81">
    <w:name w:val="修订2"/>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545638-C3E6-4C11-95EF-381E46BC1978}">
  <ds:schemaRefs/>
</ds:datastoreItem>
</file>

<file path=docProps/app.xml><?xml version="1.0" encoding="utf-8"?>
<Properties xmlns="http://schemas.openxmlformats.org/officeDocument/2006/extended-properties" xmlns:vt="http://schemas.openxmlformats.org/officeDocument/2006/docPropsVTypes">
  <Template>Normal</Template>
  <Company>Magus</Company>
  <Pages>19</Pages>
  <Words>6620</Words>
  <Characters>7173</Characters>
  <Lines>75</Lines>
  <Paragraphs>21</Paragraphs>
  <TotalTime>5</TotalTime>
  <ScaleCrop>false</ScaleCrop>
  <LinksUpToDate>false</LinksUpToDate>
  <CharactersWithSpaces>7382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2026-03-06T14:30:00Z</dcterms:created>
  <dc:creator>yanghua</dc:creator>
  <cp:lastModifiedBy>Cynthia王璨</cp:lastModifiedBy>
  <cp:lastPrinted>2020-01-27T03:02:00Z</cp:lastPrinted>
  <dcterms:modified xsi:type="dcterms:W3CDTF">2026-03-24T07:12:28Z</dcterms:modified>
  <dc:title>火电厂工况在线监控系统</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87920341CDD14D408E5CC185E9E13224_13</vt:lpwstr>
  </property>
  <property fmtid="{D5CDD505-2E9C-101B-9397-08002B2CF9AE}" pid="4" name="KSOTemplateDocerSaveRecord">
    <vt:lpwstr>eyJoZGlkIjoiMzEwNTM5NzYwMDRjMzkwZTVkZjY2ODkwMGIxNGU0OTUiLCJ1c2VySWQiOiI3MDczMTQxNDkifQ==</vt:lpwstr>
  </property>
</Properties>
</file>