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949B" w14:textId="77777777" w:rsidR="00190C48" w:rsidRDefault="00190C48" w:rsidP="00AD333E">
      <w:pPr>
        <w:ind w:firstLineChars="0" w:firstLine="0"/>
        <w:jc w:val="center"/>
        <w:rPr>
          <w:rFonts w:ascii="黑体" w:eastAsia="黑体" w:hAnsi="黑体" w:hint="eastAsia"/>
          <w:sz w:val="44"/>
          <w:szCs w:val="44"/>
        </w:rPr>
      </w:pPr>
      <w:bookmarkStart w:id="0" w:name="_Hlk207798840"/>
    </w:p>
    <w:p w14:paraId="5F8EFEBC" w14:textId="77777777" w:rsidR="00190C48" w:rsidRDefault="00190C48" w:rsidP="00AD333E">
      <w:pPr>
        <w:ind w:rightChars="-21" w:right="-59" w:firstLineChars="0" w:firstLine="0"/>
        <w:jc w:val="center"/>
        <w:rPr>
          <w:rFonts w:ascii="黑体" w:eastAsia="黑体" w:hAnsi="黑体" w:hint="eastAsia"/>
          <w:sz w:val="44"/>
          <w:szCs w:val="44"/>
        </w:rPr>
      </w:pPr>
    </w:p>
    <w:p w14:paraId="2C915667" w14:textId="217C1354" w:rsidR="00190C48" w:rsidRDefault="001C30E7" w:rsidP="00AD333E">
      <w:pPr>
        <w:ind w:firstLineChars="0" w:firstLine="0"/>
        <w:jc w:val="center"/>
        <w:rPr>
          <w:rFonts w:ascii="黑体" w:eastAsia="黑体" w:hAnsi="黑体" w:hint="eastAsia"/>
          <w:sz w:val="44"/>
          <w:szCs w:val="44"/>
        </w:rPr>
      </w:pPr>
      <w:bookmarkStart w:id="1" w:name="_Hlk212037258"/>
      <w:r>
        <w:rPr>
          <w:rFonts w:ascii="黑体" w:eastAsia="黑体" w:hAnsi="黑体" w:hint="eastAsia"/>
          <w:sz w:val="44"/>
          <w:szCs w:val="44"/>
        </w:rPr>
        <w:t>《工业集聚区土壤-地下水污染分区分类技术指南》</w:t>
      </w:r>
      <w:bookmarkEnd w:id="1"/>
      <w:r>
        <w:rPr>
          <w:rFonts w:ascii="黑体" w:eastAsia="黑体" w:hAnsi="黑体" w:hint="eastAsia"/>
          <w:sz w:val="44"/>
          <w:szCs w:val="44"/>
        </w:rPr>
        <w:t>编制说明</w:t>
      </w:r>
    </w:p>
    <w:p w14:paraId="0BCA964C" w14:textId="1D3D29F4" w:rsidR="00AD333E" w:rsidRPr="00AD333E" w:rsidRDefault="00C200C5" w:rsidP="00AD333E">
      <w:pPr>
        <w:spacing w:line="240" w:lineRule="auto"/>
        <w:ind w:firstLineChars="0" w:firstLine="0"/>
        <w:jc w:val="center"/>
        <w:rPr>
          <w:rFonts w:eastAsia="宋体" w:cs="Times New Roman"/>
          <w:sz w:val="32"/>
          <w:szCs w:val="32"/>
        </w:rPr>
      </w:pPr>
      <w:r>
        <w:rPr>
          <w:rFonts w:ascii="黑体" w:eastAsia="黑体" w:hAnsi="黑体" w:hint="eastAsia"/>
          <w:sz w:val="44"/>
          <w:szCs w:val="44"/>
        </w:rPr>
        <w:t>（征求意见稿）</w:t>
      </w:r>
    </w:p>
    <w:p w14:paraId="43A9376C" w14:textId="77777777" w:rsidR="00AD333E" w:rsidRPr="00AD333E" w:rsidRDefault="00AD333E" w:rsidP="00AD333E">
      <w:pPr>
        <w:spacing w:line="240" w:lineRule="auto"/>
        <w:ind w:firstLineChars="0" w:firstLine="0"/>
        <w:jc w:val="center"/>
        <w:rPr>
          <w:rFonts w:eastAsia="宋体" w:cs="Times New Roman"/>
          <w:sz w:val="32"/>
          <w:szCs w:val="32"/>
        </w:rPr>
      </w:pPr>
    </w:p>
    <w:p w14:paraId="5A46A020" w14:textId="77777777" w:rsidR="00AD333E" w:rsidRPr="00AD333E" w:rsidRDefault="00AD333E" w:rsidP="00AD333E">
      <w:pPr>
        <w:spacing w:line="240" w:lineRule="auto"/>
        <w:ind w:firstLineChars="0" w:firstLine="0"/>
        <w:jc w:val="center"/>
        <w:rPr>
          <w:rFonts w:eastAsia="宋体" w:cs="Times New Roman"/>
          <w:sz w:val="32"/>
          <w:szCs w:val="32"/>
        </w:rPr>
      </w:pPr>
    </w:p>
    <w:p w14:paraId="76316589" w14:textId="77777777" w:rsidR="00AD333E" w:rsidRPr="00AD333E" w:rsidRDefault="00AD333E" w:rsidP="00AD333E">
      <w:pPr>
        <w:spacing w:line="240" w:lineRule="auto"/>
        <w:ind w:firstLineChars="0" w:firstLine="0"/>
        <w:jc w:val="center"/>
        <w:rPr>
          <w:rFonts w:eastAsia="宋体" w:cs="Times New Roman"/>
          <w:sz w:val="32"/>
          <w:szCs w:val="32"/>
        </w:rPr>
      </w:pPr>
    </w:p>
    <w:p w14:paraId="0E3C8BCC" w14:textId="77777777" w:rsidR="00AD333E" w:rsidRPr="00AD333E" w:rsidRDefault="00AD333E" w:rsidP="00AD333E">
      <w:pPr>
        <w:spacing w:line="240" w:lineRule="auto"/>
        <w:ind w:firstLineChars="0" w:firstLine="0"/>
        <w:jc w:val="center"/>
        <w:rPr>
          <w:rFonts w:eastAsia="宋体" w:cs="Times New Roman"/>
          <w:sz w:val="32"/>
          <w:szCs w:val="32"/>
        </w:rPr>
      </w:pPr>
    </w:p>
    <w:p w14:paraId="79FCAEC6" w14:textId="77777777" w:rsidR="00AD333E" w:rsidRPr="00AD333E" w:rsidRDefault="00AD333E" w:rsidP="00AD333E">
      <w:pPr>
        <w:spacing w:line="240" w:lineRule="auto"/>
        <w:ind w:firstLineChars="0" w:firstLine="0"/>
        <w:jc w:val="center"/>
        <w:rPr>
          <w:rFonts w:eastAsia="宋体" w:cs="Times New Roman"/>
          <w:sz w:val="32"/>
          <w:szCs w:val="32"/>
        </w:rPr>
      </w:pPr>
    </w:p>
    <w:p w14:paraId="75AFDB9D" w14:textId="77777777" w:rsidR="00AD333E" w:rsidRPr="00AD333E" w:rsidRDefault="00AD333E" w:rsidP="00AD333E">
      <w:pPr>
        <w:spacing w:line="240" w:lineRule="auto"/>
        <w:ind w:firstLineChars="0" w:firstLine="0"/>
        <w:jc w:val="center"/>
        <w:rPr>
          <w:rFonts w:eastAsia="宋体" w:cs="Times New Roman"/>
          <w:sz w:val="32"/>
          <w:szCs w:val="32"/>
        </w:rPr>
      </w:pPr>
    </w:p>
    <w:p w14:paraId="04327365" w14:textId="77777777" w:rsidR="00AD333E" w:rsidRPr="00AD333E" w:rsidRDefault="00AD333E" w:rsidP="00AD333E">
      <w:pPr>
        <w:spacing w:line="240" w:lineRule="auto"/>
        <w:ind w:firstLineChars="0" w:firstLine="0"/>
        <w:jc w:val="center"/>
        <w:rPr>
          <w:rFonts w:eastAsia="宋体" w:cs="Times New Roman"/>
          <w:sz w:val="32"/>
          <w:szCs w:val="32"/>
        </w:rPr>
      </w:pPr>
    </w:p>
    <w:p w14:paraId="6BFBDD5D" w14:textId="77777777" w:rsidR="00AD333E" w:rsidRPr="00AD333E" w:rsidRDefault="00AD333E" w:rsidP="00AD333E">
      <w:pPr>
        <w:spacing w:line="240" w:lineRule="auto"/>
        <w:ind w:firstLineChars="0" w:firstLine="0"/>
        <w:jc w:val="center"/>
        <w:rPr>
          <w:rFonts w:eastAsia="宋体" w:cs="Times New Roman"/>
          <w:sz w:val="32"/>
          <w:szCs w:val="32"/>
        </w:rPr>
      </w:pPr>
    </w:p>
    <w:p w14:paraId="0C968AC1" w14:textId="77777777" w:rsidR="00AD333E" w:rsidRPr="00AD333E" w:rsidRDefault="00AD333E" w:rsidP="00AD333E">
      <w:pPr>
        <w:spacing w:line="240" w:lineRule="auto"/>
        <w:ind w:firstLineChars="0" w:firstLine="0"/>
        <w:jc w:val="center"/>
        <w:rPr>
          <w:rFonts w:eastAsia="宋体" w:cs="Times New Roman"/>
          <w:sz w:val="32"/>
          <w:szCs w:val="32"/>
        </w:rPr>
      </w:pPr>
    </w:p>
    <w:p w14:paraId="228BF40E" w14:textId="77777777" w:rsidR="00AD333E" w:rsidRPr="00AD333E" w:rsidRDefault="00AD333E" w:rsidP="00AD333E">
      <w:pPr>
        <w:spacing w:line="240" w:lineRule="auto"/>
        <w:ind w:firstLineChars="0" w:firstLine="0"/>
        <w:jc w:val="center"/>
        <w:rPr>
          <w:rFonts w:eastAsia="宋体" w:cs="Times New Roman"/>
          <w:sz w:val="32"/>
          <w:szCs w:val="32"/>
        </w:rPr>
      </w:pPr>
    </w:p>
    <w:p w14:paraId="251E0474" w14:textId="77777777" w:rsidR="00AD333E" w:rsidRPr="00AD333E" w:rsidRDefault="00AD333E" w:rsidP="00AD333E">
      <w:pPr>
        <w:spacing w:line="240" w:lineRule="auto"/>
        <w:ind w:firstLineChars="0" w:firstLine="0"/>
        <w:jc w:val="center"/>
        <w:rPr>
          <w:rFonts w:eastAsia="宋体" w:cs="Times New Roman"/>
          <w:sz w:val="32"/>
          <w:szCs w:val="32"/>
        </w:rPr>
      </w:pPr>
    </w:p>
    <w:p w14:paraId="3A94CBF2" w14:textId="77777777" w:rsidR="00AD333E" w:rsidRDefault="00AD333E" w:rsidP="00AD333E">
      <w:pPr>
        <w:spacing w:line="240" w:lineRule="auto"/>
        <w:ind w:firstLineChars="0" w:firstLine="0"/>
        <w:jc w:val="center"/>
        <w:rPr>
          <w:rFonts w:eastAsia="宋体" w:cs="Times New Roman"/>
          <w:sz w:val="32"/>
          <w:szCs w:val="32"/>
        </w:rPr>
      </w:pPr>
    </w:p>
    <w:p w14:paraId="3C1B5D15" w14:textId="77777777" w:rsidR="00AD333E" w:rsidRDefault="00AD333E" w:rsidP="00AD333E">
      <w:pPr>
        <w:spacing w:line="240" w:lineRule="auto"/>
        <w:ind w:firstLineChars="0" w:firstLine="0"/>
        <w:jc w:val="center"/>
        <w:rPr>
          <w:rFonts w:eastAsia="宋体" w:cs="Times New Roman"/>
          <w:sz w:val="32"/>
          <w:szCs w:val="32"/>
        </w:rPr>
      </w:pPr>
    </w:p>
    <w:p w14:paraId="170D3F5B" w14:textId="77777777" w:rsidR="00AD333E" w:rsidRDefault="00AD333E" w:rsidP="00AD333E">
      <w:pPr>
        <w:spacing w:line="240" w:lineRule="auto"/>
        <w:ind w:firstLineChars="0" w:firstLine="0"/>
        <w:jc w:val="center"/>
        <w:rPr>
          <w:rFonts w:eastAsia="宋体" w:cs="Times New Roman"/>
          <w:sz w:val="32"/>
          <w:szCs w:val="32"/>
        </w:rPr>
      </w:pPr>
    </w:p>
    <w:p w14:paraId="407C81A1" w14:textId="77777777" w:rsidR="00AD333E" w:rsidRDefault="00AD333E" w:rsidP="00AD333E">
      <w:pPr>
        <w:spacing w:line="240" w:lineRule="auto"/>
        <w:ind w:firstLineChars="0" w:firstLine="0"/>
        <w:jc w:val="center"/>
        <w:rPr>
          <w:rFonts w:eastAsia="宋体" w:cs="Times New Roman"/>
          <w:sz w:val="32"/>
          <w:szCs w:val="32"/>
        </w:rPr>
      </w:pPr>
    </w:p>
    <w:p w14:paraId="41A5378C" w14:textId="77777777" w:rsidR="00AD333E" w:rsidRDefault="00AD333E" w:rsidP="00AD333E">
      <w:pPr>
        <w:spacing w:line="240" w:lineRule="auto"/>
        <w:ind w:firstLineChars="0" w:firstLine="0"/>
        <w:jc w:val="center"/>
        <w:rPr>
          <w:rFonts w:eastAsia="宋体" w:cs="Times New Roman"/>
          <w:sz w:val="32"/>
          <w:szCs w:val="32"/>
        </w:rPr>
      </w:pPr>
    </w:p>
    <w:p w14:paraId="0BC0F901" w14:textId="77777777" w:rsidR="00835082" w:rsidRDefault="00835082" w:rsidP="00835082">
      <w:pPr>
        <w:spacing w:line="240" w:lineRule="auto"/>
        <w:ind w:firstLineChars="0" w:firstLine="0"/>
        <w:jc w:val="center"/>
        <w:rPr>
          <w:rFonts w:eastAsia="宋体" w:cs="Times New Roman"/>
          <w:sz w:val="32"/>
          <w:szCs w:val="32"/>
        </w:rPr>
      </w:pPr>
    </w:p>
    <w:p w14:paraId="0D69B4B9" w14:textId="77777777" w:rsidR="00A4383F" w:rsidRDefault="00A4383F" w:rsidP="00835082">
      <w:pPr>
        <w:spacing w:line="240" w:lineRule="auto"/>
        <w:ind w:firstLineChars="0" w:firstLine="0"/>
        <w:jc w:val="center"/>
        <w:rPr>
          <w:rFonts w:eastAsia="宋体" w:cs="Times New Roman"/>
          <w:sz w:val="32"/>
          <w:szCs w:val="32"/>
        </w:rPr>
      </w:pPr>
    </w:p>
    <w:p w14:paraId="4E3F23FB" w14:textId="77777777" w:rsidR="0045181A" w:rsidRPr="00835082" w:rsidRDefault="0045181A" w:rsidP="00835082">
      <w:pPr>
        <w:spacing w:line="240" w:lineRule="auto"/>
        <w:ind w:firstLineChars="0" w:firstLine="0"/>
        <w:jc w:val="center"/>
        <w:rPr>
          <w:rFonts w:eastAsia="宋体" w:cs="Times New Roman" w:hint="eastAsia"/>
          <w:sz w:val="32"/>
          <w:szCs w:val="32"/>
        </w:rPr>
      </w:pPr>
    </w:p>
    <w:p w14:paraId="594C6BB4" w14:textId="49A56EF7" w:rsidR="00190C48" w:rsidRPr="002A30FF" w:rsidRDefault="00835082" w:rsidP="00AD333E">
      <w:pPr>
        <w:ind w:firstLineChars="0" w:firstLine="0"/>
        <w:jc w:val="center"/>
        <w:rPr>
          <w:rFonts w:ascii="宋体" w:eastAsia="宋体" w:hAnsi="宋体" w:hint="eastAsia"/>
          <w:b/>
          <w:sz w:val="32"/>
          <w:szCs w:val="32"/>
        </w:rPr>
      </w:pPr>
      <w:r>
        <w:rPr>
          <w:rFonts w:ascii="宋体" w:eastAsia="宋体" w:hAnsi="宋体" w:hint="eastAsia"/>
          <w:b/>
          <w:sz w:val="32"/>
          <w:szCs w:val="32"/>
        </w:rPr>
        <w:t>浙江大学</w:t>
      </w:r>
    </w:p>
    <w:p w14:paraId="63CCD0F3" w14:textId="56446B79" w:rsidR="00190C48" w:rsidRPr="002A30FF" w:rsidRDefault="001C30E7" w:rsidP="00AD333E">
      <w:pPr>
        <w:ind w:firstLineChars="0" w:firstLine="0"/>
        <w:jc w:val="center"/>
        <w:rPr>
          <w:rFonts w:ascii="宋体" w:eastAsia="宋体" w:hAnsi="宋体" w:hint="eastAsia"/>
          <w:sz w:val="32"/>
          <w:szCs w:val="32"/>
        </w:rPr>
      </w:pPr>
      <w:r>
        <w:rPr>
          <w:rFonts w:hint="eastAsia"/>
          <w:sz w:val="32"/>
          <w:szCs w:val="32"/>
        </w:rPr>
        <w:t>2025</w:t>
      </w:r>
      <w:r w:rsidRPr="002A30FF">
        <w:rPr>
          <w:rFonts w:asciiTheme="minorEastAsia" w:eastAsiaTheme="minorEastAsia" w:hAnsiTheme="minorEastAsia" w:hint="eastAsia"/>
          <w:sz w:val="32"/>
          <w:szCs w:val="32"/>
        </w:rPr>
        <w:t>年</w:t>
      </w:r>
      <w:r w:rsidR="00FF1431">
        <w:rPr>
          <w:sz w:val="32"/>
          <w:szCs w:val="32"/>
        </w:rPr>
        <w:t>1</w:t>
      </w:r>
      <w:r w:rsidR="0045181A">
        <w:rPr>
          <w:rFonts w:hint="eastAsia"/>
          <w:sz w:val="32"/>
          <w:szCs w:val="32"/>
        </w:rPr>
        <w:t>2</w:t>
      </w:r>
      <w:r w:rsidRPr="002A30FF">
        <w:rPr>
          <w:rFonts w:ascii="宋体" w:eastAsia="宋体" w:hAnsi="宋体" w:hint="eastAsia"/>
          <w:sz w:val="32"/>
          <w:szCs w:val="32"/>
        </w:rPr>
        <w:t>月</w:t>
      </w:r>
      <w:r w:rsidR="00A057F5" w:rsidRPr="00C0787B">
        <w:rPr>
          <w:rFonts w:eastAsia="宋体" w:cs="Times New Roman"/>
          <w:sz w:val="32"/>
          <w:szCs w:val="32"/>
        </w:rPr>
        <w:t>2</w:t>
      </w:r>
      <w:r w:rsidR="009254CD">
        <w:rPr>
          <w:rFonts w:hint="eastAsia"/>
          <w:sz w:val="32"/>
          <w:szCs w:val="32"/>
        </w:rPr>
        <w:t>0</w:t>
      </w:r>
      <w:r w:rsidRPr="002A30FF">
        <w:rPr>
          <w:rFonts w:ascii="宋体" w:eastAsia="宋体" w:hAnsi="宋体" w:hint="eastAsia"/>
          <w:sz w:val="32"/>
          <w:szCs w:val="32"/>
        </w:rPr>
        <w:t>日</w:t>
      </w:r>
    </w:p>
    <w:p w14:paraId="0EECA360" w14:textId="20477685" w:rsidR="00190C48" w:rsidRDefault="001C30E7" w:rsidP="00B5166A">
      <w:pPr>
        <w:widowControl/>
        <w:tabs>
          <w:tab w:val="right" w:pos="8730"/>
        </w:tabs>
        <w:spacing w:line="240" w:lineRule="auto"/>
        <w:ind w:firstLineChars="0" w:firstLine="0"/>
        <w:jc w:val="left"/>
        <w:rPr>
          <w:rFonts w:ascii="黑体" w:eastAsia="黑体" w:hAnsi="黑体" w:hint="eastAsia"/>
          <w:b/>
          <w:bCs/>
          <w:sz w:val="36"/>
          <w:szCs w:val="36"/>
        </w:rPr>
      </w:pPr>
      <w:r>
        <w:rPr>
          <w:rFonts w:ascii="黑体" w:eastAsia="黑体" w:hAnsi="黑体" w:hint="eastAsia"/>
          <w:b/>
          <w:bCs/>
          <w:sz w:val="36"/>
          <w:szCs w:val="36"/>
        </w:rPr>
        <w:br w:type="page"/>
      </w:r>
      <w:r w:rsidR="00B5166A">
        <w:rPr>
          <w:rFonts w:ascii="黑体" w:eastAsia="黑体" w:hAnsi="黑体" w:hint="eastAsia"/>
          <w:b/>
          <w:bCs/>
          <w:sz w:val="36"/>
          <w:szCs w:val="36"/>
        </w:rPr>
        <w:lastRenderedPageBreak/>
        <w:tab/>
      </w:r>
    </w:p>
    <w:sdt>
      <w:sdtPr>
        <w:rPr>
          <w:rFonts w:ascii="Times New Roman" w:eastAsia="仿宋" w:hAnsi="Times New Roman" w:cstheme="minorBidi"/>
          <w:color w:val="auto"/>
          <w:kern w:val="2"/>
          <w:sz w:val="28"/>
          <w:szCs w:val="22"/>
          <w:lang w:val="zh-CN"/>
        </w:rPr>
        <w:id w:val="1860079419"/>
        <w:docPartObj>
          <w:docPartGallery w:val="Table of Contents"/>
          <w:docPartUnique/>
        </w:docPartObj>
      </w:sdtPr>
      <w:sdtEndPr>
        <w:rPr>
          <w:b/>
          <w:bCs/>
        </w:rPr>
      </w:sdtEndPr>
      <w:sdtContent>
        <w:p w14:paraId="274441E3" w14:textId="7F33DEB8" w:rsidR="00190C48" w:rsidRDefault="001C30E7" w:rsidP="002A30FF">
          <w:pPr>
            <w:pStyle w:val="TOC10"/>
            <w:jc w:val="center"/>
            <w:rPr>
              <w:rFonts w:ascii="黑体" w:eastAsia="黑体" w:hAnsi="黑体" w:hint="eastAsia"/>
            </w:rPr>
          </w:pPr>
          <w:r>
            <w:rPr>
              <w:rFonts w:ascii="黑体" w:eastAsia="黑体" w:hAnsi="黑体"/>
              <w:color w:val="auto"/>
              <w:lang w:val="zh-CN"/>
            </w:rPr>
            <w:t>目</w:t>
          </w:r>
          <w:r>
            <w:rPr>
              <w:rFonts w:ascii="黑体" w:eastAsia="黑体" w:hAnsi="黑体" w:hint="eastAsia"/>
              <w:color w:val="auto"/>
              <w:lang w:val="zh-CN"/>
            </w:rPr>
            <w:t xml:space="preserve"> </w:t>
          </w:r>
          <w:r w:rsidR="00F67F28">
            <w:rPr>
              <w:rFonts w:ascii="黑体" w:eastAsia="黑体" w:hAnsi="黑体" w:hint="eastAsia"/>
              <w:color w:val="auto"/>
              <w:lang w:val="zh-CN"/>
            </w:rPr>
            <w:t xml:space="preserve"> </w:t>
          </w:r>
          <w:r w:rsidR="0045181A">
            <w:rPr>
              <w:rFonts w:ascii="黑体" w:eastAsia="黑体" w:hAnsi="黑体" w:hint="eastAsia"/>
              <w:color w:val="auto"/>
              <w:lang w:val="zh-CN"/>
            </w:rPr>
            <w:t>录</w:t>
          </w:r>
        </w:p>
        <w:p w14:paraId="138E79A9" w14:textId="56CF6B4A" w:rsidR="00101388" w:rsidRDefault="00101388">
          <w:pPr>
            <w:pStyle w:val="TOC1"/>
            <w:rPr>
              <w:rFonts w:asciiTheme="minorHAnsi" w:eastAsiaTheme="minorEastAsia" w:hAnsiTheme="minorHAnsi"/>
              <w:noProof/>
              <w:sz w:val="22"/>
              <w:szCs w:val="24"/>
              <w14:ligatures w14:val="standardContextual"/>
            </w:rPr>
          </w:pPr>
          <w:r>
            <w:fldChar w:fldCharType="begin"/>
          </w:r>
          <w:r>
            <w:instrText xml:space="preserve"> TOC \o "1-1" \h \z \u </w:instrText>
          </w:r>
          <w:r>
            <w:fldChar w:fldCharType="separate"/>
          </w:r>
          <w:hyperlink w:anchor="_Toc212038020" w:history="1">
            <w:r w:rsidRPr="00714184">
              <w:rPr>
                <w:rStyle w:val="ab"/>
                <w:rFonts w:hint="eastAsia"/>
                <w:noProof/>
              </w:rPr>
              <w:t>一、工作简况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_Toc212038020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w:t>
            </w:r>
            <w:r>
              <w:rPr>
                <w:rFonts w:hint="eastAsia"/>
                <w:noProof/>
                <w:webHidden/>
              </w:rPr>
              <w:fldChar w:fldCharType="end"/>
            </w:r>
          </w:hyperlink>
        </w:p>
        <w:p w14:paraId="5BDE150B" w14:textId="516A1068" w:rsidR="00101388" w:rsidRDefault="00101388">
          <w:pPr>
            <w:pStyle w:val="TOC1"/>
            <w:rPr>
              <w:rFonts w:asciiTheme="minorHAnsi" w:eastAsiaTheme="minorEastAsia" w:hAnsiTheme="minorHAnsi"/>
              <w:noProof/>
              <w:sz w:val="22"/>
              <w:szCs w:val="24"/>
              <w14:ligatures w14:val="standardContextual"/>
            </w:rPr>
          </w:pPr>
          <w:hyperlink w:anchor="_Toc212038021" w:history="1">
            <w:r w:rsidRPr="00714184">
              <w:rPr>
                <w:rStyle w:val="ab"/>
                <w:rFonts w:hint="eastAsia"/>
                <w:noProof/>
              </w:rPr>
              <w:t>二、标准编制原则和确定主要内容的论据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_Toc212038021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4</w:t>
            </w:r>
            <w:r>
              <w:rPr>
                <w:rFonts w:hint="eastAsia"/>
                <w:noProof/>
                <w:webHidden/>
              </w:rPr>
              <w:fldChar w:fldCharType="end"/>
            </w:r>
          </w:hyperlink>
        </w:p>
        <w:p w14:paraId="71DA403A" w14:textId="2112E0B6" w:rsidR="00101388" w:rsidRDefault="00101388">
          <w:pPr>
            <w:pStyle w:val="TOC1"/>
            <w:rPr>
              <w:rFonts w:asciiTheme="minorHAnsi" w:eastAsiaTheme="minorEastAsia" w:hAnsiTheme="minorHAnsi"/>
              <w:noProof/>
              <w:sz w:val="22"/>
              <w:szCs w:val="24"/>
              <w14:ligatures w14:val="standardContextual"/>
            </w:rPr>
          </w:pPr>
          <w:hyperlink w:anchor="_Toc212038022" w:history="1">
            <w:r w:rsidRPr="00714184">
              <w:rPr>
                <w:rStyle w:val="ab"/>
                <w:rFonts w:hint="eastAsia"/>
                <w:noProof/>
              </w:rPr>
              <w:t>三、试验验证的分析、综述报告，技术经济论证，预期的经济效益、社会效益和生态效益</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_Toc212038022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6</w:t>
            </w:r>
            <w:r>
              <w:rPr>
                <w:rFonts w:hint="eastAsia"/>
                <w:noProof/>
                <w:webHidden/>
              </w:rPr>
              <w:fldChar w:fldCharType="end"/>
            </w:r>
          </w:hyperlink>
        </w:p>
        <w:p w14:paraId="5CDEED3A" w14:textId="13F372D6" w:rsidR="00101388" w:rsidRDefault="00101388">
          <w:pPr>
            <w:pStyle w:val="TOC1"/>
            <w:rPr>
              <w:rFonts w:asciiTheme="minorHAnsi" w:eastAsiaTheme="minorEastAsia" w:hAnsiTheme="minorHAnsi"/>
              <w:noProof/>
              <w:sz w:val="22"/>
              <w:szCs w:val="24"/>
              <w14:ligatures w14:val="standardContextual"/>
            </w:rPr>
          </w:pPr>
          <w:hyperlink w:anchor="_Toc212038023" w:history="1">
            <w:r w:rsidRPr="00714184">
              <w:rPr>
                <w:rStyle w:val="ab"/>
                <w:rFonts w:hint="eastAsia"/>
                <w:noProof/>
              </w:rPr>
              <w:t>四、与国际、国外同类标准技术内容的对比情况，或者与测试的国外样品、样机的有关数据对比情况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_Toc212038023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14</w:t>
            </w:r>
            <w:r>
              <w:rPr>
                <w:rFonts w:hint="eastAsia"/>
                <w:noProof/>
                <w:webHidden/>
              </w:rPr>
              <w:fldChar w:fldCharType="end"/>
            </w:r>
          </w:hyperlink>
        </w:p>
        <w:p w14:paraId="6F3FA328" w14:textId="43149B0C" w:rsidR="00101388" w:rsidRDefault="00101388">
          <w:pPr>
            <w:pStyle w:val="TOC1"/>
            <w:rPr>
              <w:rFonts w:asciiTheme="minorHAnsi" w:eastAsiaTheme="minorEastAsia" w:hAnsiTheme="minorHAnsi"/>
              <w:noProof/>
              <w:sz w:val="22"/>
              <w:szCs w:val="24"/>
              <w14:ligatures w14:val="standardContextual"/>
            </w:rPr>
          </w:pPr>
          <w:hyperlink w:anchor="_Toc212038024" w:history="1">
            <w:r w:rsidRPr="00714184">
              <w:rPr>
                <w:rStyle w:val="ab"/>
                <w:rFonts w:hint="eastAsia"/>
                <w:noProof/>
              </w:rPr>
              <w:t>五、以国际标准为基础的起草情况，以及是否合规引用或者采用国际国外标准，并说明未采用国际标准的原因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_Toc212038024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15</w:t>
            </w:r>
            <w:r>
              <w:rPr>
                <w:rFonts w:hint="eastAsia"/>
                <w:noProof/>
                <w:webHidden/>
              </w:rPr>
              <w:fldChar w:fldCharType="end"/>
            </w:r>
          </w:hyperlink>
        </w:p>
        <w:p w14:paraId="7763349B" w14:textId="27E0CD73" w:rsidR="00101388" w:rsidRDefault="00101388">
          <w:pPr>
            <w:pStyle w:val="TOC1"/>
            <w:rPr>
              <w:rFonts w:asciiTheme="minorHAnsi" w:eastAsiaTheme="minorEastAsia" w:hAnsiTheme="minorHAnsi"/>
              <w:noProof/>
              <w:sz w:val="22"/>
              <w:szCs w:val="24"/>
              <w14:ligatures w14:val="standardContextual"/>
            </w:rPr>
          </w:pPr>
          <w:hyperlink w:anchor="_Toc212038025" w:history="1">
            <w:r w:rsidRPr="00714184">
              <w:rPr>
                <w:rStyle w:val="ab"/>
                <w:rFonts w:hint="eastAsia"/>
                <w:noProof/>
              </w:rPr>
              <w:t>六、与有关法律、行政法规及相关标准的关系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_Toc212038025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15</w:t>
            </w:r>
            <w:r>
              <w:rPr>
                <w:rFonts w:hint="eastAsia"/>
                <w:noProof/>
                <w:webHidden/>
              </w:rPr>
              <w:fldChar w:fldCharType="end"/>
            </w:r>
          </w:hyperlink>
        </w:p>
        <w:p w14:paraId="33E620E9" w14:textId="04243130" w:rsidR="00101388" w:rsidRDefault="00101388">
          <w:pPr>
            <w:pStyle w:val="TOC1"/>
            <w:rPr>
              <w:rFonts w:asciiTheme="minorHAnsi" w:eastAsiaTheme="minorEastAsia" w:hAnsiTheme="minorHAnsi"/>
              <w:noProof/>
              <w:sz w:val="22"/>
              <w:szCs w:val="24"/>
              <w14:ligatures w14:val="standardContextual"/>
            </w:rPr>
          </w:pPr>
          <w:hyperlink w:anchor="_Toc212038026" w:history="1">
            <w:r w:rsidRPr="00714184">
              <w:rPr>
                <w:rStyle w:val="ab"/>
                <w:rFonts w:hint="eastAsia"/>
                <w:noProof/>
              </w:rPr>
              <w:t>七、重大分歧意见的处理经过和依据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_Toc212038026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16</w:t>
            </w:r>
            <w:r>
              <w:rPr>
                <w:rFonts w:hint="eastAsia"/>
                <w:noProof/>
                <w:webHidden/>
              </w:rPr>
              <w:fldChar w:fldCharType="end"/>
            </w:r>
          </w:hyperlink>
        </w:p>
        <w:p w14:paraId="1E895533" w14:textId="5F3E597C" w:rsidR="00101388" w:rsidRDefault="00101388">
          <w:pPr>
            <w:pStyle w:val="TOC1"/>
            <w:rPr>
              <w:rFonts w:asciiTheme="minorHAnsi" w:eastAsiaTheme="minorEastAsia" w:hAnsiTheme="minorHAnsi"/>
              <w:noProof/>
              <w:sz w:val="22"/>
              <w:szCs w:val="24"/>
              <w14:ligatures w14:val="standardContextual"/>
            </w:rPr>
          </w:pPr>
          <w:hyperlink w:anchor="_Toc212038027" w:history="1">
            <w:r w:rsidRPr="00714184">
              <w:rPr>
                <w:rStyle w:val="ab"/>
                <w:rFonts w:hint="eastAsia"/>
                <w:noProof/>
              </w:rPr>
              <w:t>八、涉及专利的有关说明</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_Toc212038027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16</w:t>
            </w:r>
            <w:r>
              <w:rPr>
                <w:rFonts w:hint="eastAsia"/>
                <w:noProof/>
                <w:webHidden/>
              </w:rPr>
              <w:fldChar w:fldCharType="end"/>
            </w:r>
          </w:hyperlink>
        </w:p>
        <w:p w14:paraId="1596551B" w14:textId="5767854D" w:rsidR="00101388" w:rsidRDefault="00101388">
          <w:pPr>
            <w:pStyle w:val="TOC1"/>
            <w:rPr>
              <w:rFonts w:asciiTheme="minorHAnsi" w:eastAsiaTheme="minorEastAsia" w:hAnsiTheme="minorHAnsi"/>
              <w:noProof/>
              <w:sz w:val="22"/>
              <w:szCs w:val="24"/>
              <w14:ligatures w14:val="standardContextual"/>
            </w:rPr>
          </w:pPr>
          <w:hyperlink w:anchor="_Toc212038028" w:history="1">
            <w:r w:rsidRPr="00714184">
              <w:rPr>
                <w:rStyle w:val="ab"/>
                <w:rFonts w:hint="eastAsia"/>
                <w:noProof/>
              </w:rPr>
              <w:t>九、实施标准的要求，以及组织措施、技术措施、过渡期和实施日期的建议等措施建议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_Toc212038028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17</w:t>
            </w:r>
            <w:r>
              <w:rPr>
                <w:rFonts w:hint="eastAsia"/>
                <w:noProof/>
                <w:webHidden/>
              </w:rPr>
              <w:fldChar w:fldCharType="end"/>
            </w:r>
          </w:hyperlink>
        </w:p>
        <w:p w14:paraId="434B9C8A" w14:textId="5DBA80E8" w:rsidR="00101388" w:rsidRDefault="00101388">
          <w:pPr>
            <w:pStyle w:val="TOC1"/>
            <w:rPr>
              <w:rFonts w:asciiTheme="minorHAnsi" w:eastAsiaTheme="minorEastAsia" w:hAnsiTheme="minorHAnsi"/>
              <w:noProof/>
              <w:sz w:val="22"/>
              <w:szCs w:val="24"/>
              <w14:ligatures w14:val="standardContextual"/>
            </w:rPr>
          </w:pPr>
          <w:hyperlink w:anchor="_Toc212038029" w:history="1">
            <w:r w:rsidRPr="00714184">
              <w:rPr>
                <w:rStyle w:val="ab"/>
                <w:rFonts w:hint="eastAsia"/>
                <w:noProof/>
              </w:rPr>
              <w:t>十、其他应予说明的事项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_Toc212038029 \h</w:instrText>
            </w:r>
            <w:r>
              <w:rPr>
                <w:rFonts w:hint="eastAsia"/>
                <w:noProof/>
                <w:webHidden/>
              </w:rPr>
              <w:instrText xml:space="preserve"> </w:instrText>
            </w:r>
            <w:r>
              <w:rPr>
                <w:rFonts w:hint="eastAsia"/>
                <w:noProof/>
                <w:webHidden/>
              </w:rPr>
            </w:r>
            <w:r>
              <w:rPr>
                <w:rFonts w:hint="eastAsia"/>
                <w:noProof/>
                <w:webHidden/>
              </w:rPr>
              <w:fldChar w:fldCharType="separate"/>
            </w:r>
            <w:r w:rsidR="009254CD">
              <w:rPr>
                <w:noProof/>
                <w:webHidden/>
              </w:rPr>
              <w:t>17</w:t>
            </w:r>
            <w:r>
              <w:rPr>
                <w:rFonts w:hint="eastAsia"/>
                <w:noProof/>
                <w:webHidden/>
              </w:rPr>
              <w:fldChar w:fldCharType="end"/>
            </w:r>
          </w:hyperlink>
        </w:p>
        <w:p w14:paraId="58E6110A" w14:textId="46C128A8" w:rsidR="00190C48" w:rsidRPr="007C4E11" w:rsidRDefault="00101388" w:rsidP="007C4E11">
          <w:pPr>
            <w:snapToGrid w:val="0"/>
            <w:ind w:firstLineChars="0" w:firstLine="0"/>
            <w:sectPr w:rsidR="00190C48" w:rsidRPr="007C4E11" w:rsidSect="002A30FF">
              <w:headerReference w:type="even" r:id="rId8"/>
              <w:headerReference w:type="default" r:id="rId9"/>
              <w:footerReference w:type="even" r:id="rId10"/>
              <w:footerReference w:type="default" r:id="rId11"/>
              <w:headerReference w:type="first" r:id="rId12"/>
              <w:footerReference w:type="first" r:id="rId13"/>
              <w:pgSz w:w="11906" w:h="16838"/>
              <w:pgMar w:top="1531" w:right="1588" w:bottom="1531" w:left="1588" w:header="851" w:footer="992" w:gutter="0"/>
              <w:pgNumType w:fmt="upperRoman"/>
              <w:cols w:space="425"/>
              <w:docGrid w:type="lines" w:linePitch="381"/>
            </w:sectPr>
          </w:pPr>
          <w:r>
            <w:fldChar w:fldCharType="end"/>
          </w:r>
        </w:p>
      </w:sdtContent>
    </w:sdt>
    <w:p w14:paraId="1CA362F6" w14:textId="65CC774F" w:rsidR="002A30FF" w:rsidRPr="002A30FF" w:rsidRDefault="002A30FF" w:rsidP="002A30FF">
      <w:pPr>
        <w:ind w:leftChars="-101" w:left="-2" w:hangingChars="78" w:hanging="281"/>
        <w:jc w:val="center"/>
        <w:rPr>
          <w:rFonts w:ascii="黑体" w:eastAsia="黑体" w:hAnsi="黑体" w:hint="eastAsia"/>
          <w:sz w:val="36"/>
          <w:szCs w:val="36"/>
        </w:rPr>
      </w:pPr>
      <w:r w:rsidRPr="002A30FF">
        <w:rPr>
          <w:rFonts w:ascii="黑体" w:eastAsia="黑体" w:hAnsi="黑体" w:hint="eastAsia"/>
          <w:sz w:val="36"/>
          <w:szCs w:val="36"/>
        </w:rPr>
        <w:lastRenderedPageBreak/>
        <w:t>《工业集聚区土壤-地下水污染分区分类技术指南》</w:t>
      </w:r>
    </w:p>
    <w:p w14:paraId="431849F0" w14:textId="77777777" w:rsidR="002A30FF" w:rsidRPr="002A30FF" w:rsidRDefault="002A30FF" w:rsidP="002A30FF">
      <w:pPr>
        <w:ind w:firstLineChars="0" w:firstLine="0"/>
        <w:jc w:val="center"/>
        <w:rPr>
          <w:rFonts w:ascii="黑体" w:eastAsia="黑体" w:hAnsi="黑体" w:hint="eastAsia"/>
          <w:sz w:val="36"/>
          <w:szCs w:val="36"/>
        </w:rPr>
      </w:pPr>
      <w:r w:rsidRPr="002A30FF">
        <w:rPr>
          <w:rFonts w:ascii="黑体" w:eastAsia="黑体" w:hAnsi="黑体" w:hint="eastAsia"/>
          <w:sz w:val="36"/>
          <w:szCs w:val="36"/>
        </w:rPr>
        <w:t>编制说明</w:t>
      </w:r>
    </w:p>
    <w:p w14:paraId="704D8EE4" w14:textId="28C51F5B" w:rsidR="00190C48" w:rsidRDefault="001C30E7">
      <w:pPr>
        <w:pStyle w:val="1"/>
      </w:pPr>
      <w:bookmarkStart w:id="2" w:name="_Toc212038020"/>
      <w:r>
        <w:rPr>
          <w:rFonts w:hint="eastAsia"/>
        </w:rPr>
        <w:t>一、工作简况</w:t>
      </w:r>
      <w:bookmarkEnd w:id="2"/>
    </w:p>
    <w:bookmarkEnd w:id="0"/>
    <w:p w14:paraId="6A6FBE42" w14:textId="77777777" w:rsidR="00190C48" w:rsidRDefault="001C30E7">
      <w:pPr>
        <w:pStyle w:val="2"/>
      </w:pPr>
      <w:r>
        <w:rPr>
          <w:rFonts w:hint="eastAsia"/>
        </w:rPr>
        <w:t>1.</w:t>
      </w:r>
      <w:r>
        <w:rPr>
          <w:rFonts w:hint="eastAsia"/>
        </w:rPr>
        <w:t>任务来源</w:t>
      </w:r>
    </w:p>
    <w:p w14:paraId="378D5B02" w14:textId="198574FB" w:rsidR="004355F2" w:rsidRDefault="004355F2" w:rsidP="00FF1431">
      <w:pPr>
        <w:snapToGrid w:val="0"/>
        <w:ind w:firstLine="560"/>
      </w:pPr>
      <w:r w:rsidRPr="004355F2">
        <w:rPr>
          <w:rFonts w:hint="eastAsia"/>
        </w:rPr>
        <w:t>2018</w:t>
      </w:r>
      <w:r w:rsidRPr="004355F2">
        <w:rPr>
          <w:rFonts w:hint="eastAsia"/>
        </w:rPr>
        <w:t>年</w:t>
      </w:r>
      <w:r w:rsidRPr="004355F2">
        <w:rPr>
          <w:rFonts w:hint="eastAsia"/>
        </w:rPr>
        <w:t>8</w:t>
      </w:r>
      <w:r w:rsidRPr="004355F2">
        <w:rPr>
          <w:rFonts w:hint="eastAsia"/>
        </w:rPr>
        <w:t>月</w:t>
      </w:r>
      <w:r w:rsidRPr="004355F2">
        <w:rPr>
          <w:rFonts w:hint="eastAsia"/>
        </w:rPr>
        <w:t>31</w:t>
      </w:r>
      <w:r w:rsidRPr="004355F2">
        <w:rPr>
          <w:rFonts w:hint="eastAsia"/>
        </w:rPr>
        <w:t>日颁布的《中华人民共和国土壤污染防治法》提出了土壤污染分区分类管控要求。</w:t>
      </w:r>
      <w:r w:rsidRPr="004355F2">
        <w:rPr>
          <w:rFonts w:hint="eastAsia"/>
        </w:rPr>
        <w:t>2019</w:t>
      </w:r>
      <w:r w:rsidRPr="004355F2">
        <w:rPr>
          <w:rFonts w:hint="eastAsia"/>
        </w:rPr>
        <w:t>年，我国生态环境部印发的《地下水污染防治实施方案》，提出强化土壤、地下水污染协同防治和加强区域与场地地下水污染协同防治的要求，要求各省（区、市）全面开展地下水污染分区防治并提出地下水污染分区防治措施，实施地下水污染源分类监管。开展土壤地下水环境风险评估，采取分区分类防控是推进土壤地下水污染精准防控的前提。</w:t>
      </w:r>
    </w:p>
    <w:p w14:paraId="5B3289B5" w14:textId="6D6FF0EA" w:rsidR="004355F2" w:rsidRDefault="004355F2" w:rsidP="004355F2">
      <w:pPr>
        <w:snapToGrid w:val="0"/>
        <w:ind w:firstLine="560"/>
      </w:pPr>
      <w:r w:rsidRPr="004355F2">
        <w:rPr>
          <w:rFonts w:hint="eastAsia"/>
        </w:rPr>
        <w:t>工业园区作为一种土地资源的集约配置方式，为经济发展注入活力。但我国工业园区主导产业多以高能耗、高排放的医药、电子、化工、纺织等行业为主，具有较大的环境风险隐患，因此工业园区成为</w:t>
      </w:r>
      <w:r w:rsidR="008A02D7" w:rsidRPr="004355F2">
        <w:rPr>
          <w:rFonts w:hint="eastAsia"/>
        </w:rPr>
        <w:t>区域</w:t>
      </w:r>
      <w:r w:rsidRPr="004355F2">
        <w:rPr>
          <w:rFonts w:hint="eastAsia"/>
        </w:rPr>
        <w:t>环境污染和环境风险的重点防控区。土壤与地下水的环境容量小、可更新能力差，一旦发生污染难以恢复。因此，土壤与地下水污染风险的识别与精确防控对于改善土壤与地下水环境，保障经济与社会可持续发展是十分重要的。</w:t>
      </w:r>
    </w:p>
    <w:p w14:paraId="29560E5F" w14:textId="41EC7257" w:rsidR="00190C48" w:rsidRDefault="001C30E7" w:rsidP="00FF1431">
      <w:pPr>
        <w:snapToGrid w:val="0"/>
        <w:ind w:firstLine="560"/>
      </w:pPr>
      <w:r>
        <w:rPr>
          <w:rFonts w:hint="eastAsia"/>
        </w:rPr>
        <w:t>目前，我国尚缺乏针对工业集聚区土壤</w:t>
      </w:r>
      <w:r>
        <w:rPr>
          <w:rFonts w:hint="eastAsia"/>
        </w:rPr>
        <w:t>-</w:t>
      </w:r>
      <w:r>
        <w:rPr>
          <w:rFonts w:hint="eastAsia"/>
        </w:rPr>
        <w:t>地下水污染系统性分区分类技术指南，难以支持环境风险精准识别和差异化管控实践的实施。为填补我国在工业集聚区土壤</w:t>
      </w:r>
      <w:r>
        <w:rPr>
          <w:rFonts w:hint="eastAsia"/>
        </w:rPr>
        <w:t>-</w:t>
      </w:r>
      <w:r>
        <w:rPr>
          <w:rFonts w:hint="eastAsia"/>
        </w:rPr>
        <w:t>地下水分区分类规范方面的空白，依托国家重点研发计划“工业集聚区土壤</w:t>
      </w:r>
      <w:r>
        <w:rPr>
          <w:rFonts w:hint="eastAsia"/>
        </w:rPr>
        <w:t>-</w:t>
      </w:r>
      <w:r>
        <w:rPr>
          <w:rFonts w:hint="eastAsia"/>
        </w:rPr>
        <w:t>地下水有机污染综合防治技术及应用”项目，由浙江大学、南开大学等</w:t>
      </w:r>
      <w:r w:rsidRPr="004355F2">
        <w:rPr>
          <w:rFonts w:hint="eastAsia"/>
        </w:rPr>
        <w:t>单位</w:t>
      </w:r>
      <w:r>
        <w:rPr>
          <w:rFonts w:hint="eastAsia"/>
        </w:rPr>
        <w:t>共同承担《工业集聚区土壤</w:t>
      </w:r>
      <w:r>
        <w:rPr>
          <w:rFonts w:hint="eastAsia"/>
        </w:rPr>
        <w:t>-</w:t>
      </w:r>
      <w:r>
        <w:rPr>
          <w:rFonts w:hint="eastAsia"/>
        </w:rPr>
        <w:t>地下水污染分区分类技术指南》起草任务。</w:t>
      </w:r>
    </w:p>
    <w:p w14:paraId="65720F94" w14:textId="77777777" w:rsidR="00190C48" w:rsidRDefault="001C30E7">
      <w:pPr>
        <w:pStyle w:val="2"/>
      </w:pPr>
      <w:r>
        <w:rPr>
          <w:rFonts w:hint="eastAsia"/>
        </w:rPr>
        <w:lastRenderedPageBreak/>
        <w:t>2.</w:t>
      </w:r>
      <w:r>
        <w:rPr>
          <w:rFonts w:hint="eastAsia"/>
        </w:rPr>
        <w:t>标准制定相关单位及人员</w:t>
      </w:r>
    </w:p>
    <w:p w14:paraId="63CC7C07" w14:textId="1E445158" w:rsidR="00190C48" w:rsidRDefault="001C30E7" w:rsidP="004355F2">
      <w:pPr>
        <w:snapToGrid w:val="0"/>
        <w:ind w:firstLine="560"/>
      </w:pPr>
      <w:r>
        <w:rPr>
          <w:rFonts w:hint="eastAsia"/>
        </w:rPr>
        <w:t>本标准起草单位：浙江大学、南开大学、中国地质大学（武汉）、中国环境科学研究院、华南农业大学、天津生态城环保有限公司、</w:t>
      </w:r>
      <w:r w:rsidR="004355F2" w:rsidRPr="004355F2">
        <w:rPr>
          <w:rFonts w:hint="eastAsia"/>
        </w:rPr>
        <w:t>浙江大学长三角智慧绿洲创新中心、无际（嘉善）科技有限公司、嘉兴绿土生态科技有限公司</w:t>
      </w:r>
      <w:r w:rsidR="004355F2">
        <w:rPr>
          <w:rFonts w:hint="eastAsia"/>
        </w:rPr>
        <w:t>等</w:t>
      </w:r>
      <w:r>
        <w:rPr>
          <w:rFonts w:hint="eastAsia"/>
        </w:rPr>
        <w:t>。</w:t>
      </w:r>
    </w:p>
    <w:p w14:paraId="781E6D07" w14:textId="77777777" w:rsidR="004355F2" w:rsidRDefault="001C30E7" w:rsidP="004355F2">
      <w:pPr>
        <w:snapToGrid w:val="0"/>
        <w:ind w:firstLine="560"/>
      </w:pPr>
      <w:r>
        <w:rPr>
          <w:rFonts w:hint="eastAsia"/>
        </w:rPr>
        <w:t>本标准主要起草人：</w:t>
      </w:r>
      <w:r w:rsidR="00941E53">
        <w:rPr>
          <w:rFonts w:hint="eastAsia"/>
        </w:rPr>
        <w:t>王飞儿</w:t>
      </w:r>
      <w:r w:rsidR="004355F2">
        <w:rPr>
          <w:rFonts w:hint="eastAsia"/>
        </w:rPr>
        <w:t>、沈超峰、楼莉萍、黄燕、薛刘铖、</w:t>
      </w:r>
      <w:r w:rsidR="004355F2" w:rsidRPr="004355F2">
        <w:rPr>
          <w:rFonts w:hint="eastAsia"/>
        </w:rPr>
        <w:t>符玉龙，魏梦玉，羊嘉文，段德超，徐辰</w:t>
      </w:r>
      <w:r w:rsidR="004355F2">
        <w:rPr>
          <w:rFonts w:hint="eastAsia"/>
        </w:rPr>
        <w:t>、陈威、倪卓彪、苏海磊、宋震宇、文章等。</w:t>
      </w:r>
    </w:p>
    <w:p w14:paraId="57C41B7F" w14:textId="7815D1CC" w:rsidR="00190C48" w:rsidRDefault="004355F2" w:rsidP="004355F2">
      <w:pPr>
        <w:pStyle w:val="2"/>
      </w:pPr>
      <w:r>
        <w:rPr>
          <w:rFonts w:hint="eastAsia"/>
        </w:rPr>
        <w:t>3.</w:t>
      </w:r>
      <w:r>
        <w:rPr>
          <w:rFonts w:hint="eastAsia"/>
        </w:rPr>
        <w:t>主要工作过程</w:t>
      </w:r>
    </w:p>
    <w:p w14:paraId="195FAC7C" w14:textId="75C2674E" w:rsidR="00190C48" w:rsidRDefault="001C30E7" w:rsidP="004355F2">
      <w:pPr>
        <w:snapToGrid w:val="0"/>
        <w:ind w:firstLine="560"/>
      </w:pPr>
      <w:r>
        <w:rPr>
          <w:rFonts w:hint="eastAsia"/>
        </w:rPr>
        <w:t>为保证标准的制定质量，标准内容切实可行，标准实施后能有效的指导工业集聚区土壤</w:t>
      </w:r>
      <w:r>
        <w:rPr>
          <w:rFonts w:hint="eastAsia"/>
        </w:rPr>
        <w:t>-</w:t>
      </w:r>
      <w:r>
        <w:rPr>
          <w:rFonts w:hint="eastAsia"/>
        </w:rPr>
        <w:t>地下水污染分区分类</w:t>
      </w:r>
      <w:r w:rsidR="00D63BD7">
        <w:rPr>
          <w:rFonts w:hint="eastAsia"/>
        </w:rPr>
        <w:t>差异化精准化</w:t>
      </w:r>
      <w:r>
        <w:rPr>
          <w:rFonts w:hint="eastAsia"/>
        </w:rPr>
        <w:t>管控，由浙江大学、南开大学、中国地质大学（武汉）等单位抽调专业技术人员组成了标准起草组，开展本标准制定的各项工作，并先后召开了多次工作组会议，就标准原则、适用范围、内容框架、平台开发等进行了充分研讨。</w:t>
      </w:r>
    </w:p>
    <w:p w14:paraId="0668C041" w14:textId="77777777" w:rsidR="00190C48" w:rsidRDefault="001C30E7" w:rsidP="004355F2">
      <w:pPr>
        <w:snapToGrid w:val="0"/>
        <w:ind w:left="440" w:firstLineChars="0" w:firstLine="0"/>
        <w:rPr>
          <w:b/>
          <w:bCs/>
        </w:rPr>
      </w:pPr>
      <w:r>
        <w:rPr>
          <w:rFonts w:hint="eastAsia"/>
          <w:b/>
          <w:bCs/>
        </w:rPr>
        <w:t>（</w:t>
      </w:r>
      <w:r>
        <w:rPr>
          <w:rFonts w:hint="eastAsia"/>
          <w:b/>
          <w:bCs/>
        </w:rPr>
        <w:t>1</w:t>
      </w:r>
      <w:r>
        <w:rPr>
          <w:rFonts w:hint="eastAsia"/>
          <w:b/>
          <w:bCs/>
        </w:rPr>
        <w:t>）标准编制可行性分析</w:t>
      </w:r>
    </w:p>
    <w:p w14:paraId="7BA441B8" w14:textId="408415B7" w:rsidR="00190C48" w:rsidRDefault="001C30E7" w:rsidP="004355F2">
      <w:pPr>
        <w:snapToGrid w:val="0"/>
        <w:ind w:firstLine="560"/>
      </w:pPr>
      <w:r>
        <w:rPr>
          <w:rFonts w:hint="eastAsia"/>
        </w:rPr>
        <w:t>标准起草组查阅了国内外相关政策、技术指南及专业文献，收集了国内外有关土壤</w:t>
      </w:r>
      <w:r>
        <w:rPr>
          <w:rFonts w:hint="eastAsia"/>
        </w:rPr>
        <w:t>-</w:t>
      </w:r>
      <w:r>
        <w:rPr>
          <w:rFonts w:hint="eastAsia"/>
        </w:rPr>
        <w:t>地下水污染风险分级与分区分类管控的</w:t>
      </w:r>
      <w:r w:rsidR="00A81566">
        <w:rPr>
          <w:rFonts w:hint="eastAsia"/>
        </w:rPr>
        <w:t>实践</w:t>
      </w:r>
      <w:r>
        <w:rPr>
          <w:rFonts w:hint="eastAsia"/>
        </w:rPr>
        <w:t>案例，并对这些案例进行深入分析论证，结合本课题实际最终确立了以“源</w:t>
      </w:r>
      <w:r>
        <w:rPr>
          <w:rFonts w:hint="eastAsia"/>
        </w:rPr>
        <w:t>-</w:t>
      </w:r>
      <w:r>
        <w:rPr>
          <w:rFonts w:hint="eastAsia"/>
        </w:rPr>
        <w:t>过程</w:t>
      </w:r>
      <w:r>
        <w:rPr>
          <w:rFonts w:hint="eastAsia"/>
        </w:rPr>
        <w:t>-</w:t>
      </w:r>
      <w:r>
        <w:rPr>
          <w:rFonts w:hint="eastAsia"/>
        </w:rPr>
        <w:t>受体”理论为基础的土壤</w:t>
      </w:r>
      <w:r>
        <w:rPr>
          <w:rFonts w:hint="eastAsia"/>
        </w:rPr>
        <w:t>-</w:t>
      </w:r>
      <w:r>
        <w:rPr>
          <w:rFonts w:hint="eastAsia"/>
        </w:rPr>
        <w:t>地下水污染分区分类分级技术体系。</w:t>
      </w:r>
    </w:p>
    <w:p w14:paraId="677A3451" w14:textId="77777777" w:rsidR="00190C48" w:rsidRDefault="001C30E7" w:rsidP="004355F2">
      <w:pPr>
        <w:snapToGrid w:val="0"/>
        <w:ind w:left="440" w:firstLineChars="0" w:firstLine="0"/>
        <w:rPr>
          <w:b/>
          <w:bCs/>
        </w:rPr>
      </w:pPr>
      <w:r>
        <w:rPr>
          <w:rFonts w:hint="eastAsia"/>
          <w:b/>
          <w:bCs/>
        </w:rPr>
        <w:t>（</w:t>
      </w:r>
      <w:r>
        <w:rPr>
          <w:rFonts w:hint="eastAsia"/>
          <w:b/>
          <w:bCs/>
        </w:rPr>
        <w:t>2</w:t>
      </w:r>
      <w:r>
        <w:rPr>
          <w:rFonts w:hint="eastAsia"/>
          <w:b/>
          <w:bCs/>
        </w:rPr>
        <w:t>）标准起草工作方案编制</w:t>
      </w:r>
    </w:p>
    <w:p w14:paraId="5635E6A9" w14:textId="77777777" w:rsidR="00190C48" w:rsidRDefault="001C30E7" w:rsidP="004355F2">
      <w:pPr>
        <w:snapToGrid w:val="0"/>
        <w:ind w:firstLine="560"/>
      </w:pPr>
      <w:r>
        <w:rPr>
          <w:rFonts w:hint="eastAsia"/>
        </w:rPr>
        <w:t>标准起草组在整合前期调研资料的基础上，对标准内容进行了梳理和论证，提交了本标准起草工作方案与计划。</w:t>
      </w:r>
    </w:p>
    <w:p w14:paraId="6CDEB610" w14:textId="77777777" w:rsidR="00190C48" w:rsidRDefault="001C30E7" w:rsidP="004355F2">
      <w:pPr>
        <w:snapToGrid w:val="0"/>
        <w:ind w:firstLine="562"/>
        <w:rPr>
          <w:b/>
          <w:bCs/>
        </w:rPr>
      </w:pPr>
      <w:r>
        <w:rPr>
          <w:rFonts w:hint="eastAsia"/>
          <w:b/>
          <w:bCs/>
        </w:rPr>
        <w:t>（</w:t>
      </w:r>
      <w:r>
        <w:rPr>
          <w:rFonts w:hint="eastAsia"/>
          <w:b/>
          <w:bCs/>
        </w:rPr>
        <w:t>3</w:t>
      </w:r>
      <w:r>
        <w:rPr>
          <w:rFonts w:hint="eastAsia"/>
          <w:b/>
          <w:bCs/>
        </w:rPr>
        <w:t>）工程项目现场调研</w:t>
      </w:r>
    </w:p>
    <w:p w14:paraId="36FB6765" w14:textId="59B4B81C" w:rsidR="00190C48" w:rsidRDefault="001C30E7" w:rsidP="004355F2">
      <w:pPr>
        <w:snapToGrid w:val="0"/>
        <w:ind w:firstLine="560"/>
      </w:pPr>
      <w:r>
        <w:rPr>
          <w:rFonts w:hint="eastAsia"/>
        </w:rPr>
        <w:t>标准起草组多次赴典型工业集聚区项目现场开展实地调研，通过</w:t>
      </w:r>
      <w:r>
        <w:rPr>
          <w:rFonts w:hint="eastAsia"/>
        </w:rPr>
        <w:lastRenderedPageBreak/>
        <w:t>勘察污染区域状况、采集土壤与地下水样品、分析污染物空间分布特征，掌握污染物在不同工</w:t>
      </w:r>
      <w:r w:rsidR="00492BB4">
        <w:rPr>
          <w:rFonts w:hint="eastAsia"/>
        </w:rPr>
        <w:t>业园区</w:t>
      </w:r>
      <w:r>
        <w:rPr>
          <w:rFonts w:hint="eastAsia"/>
        </w:rPr>
        <w:t>类型和地层中的迁移积累规律，为构建科学合理的污染分区、分类与分级技术体系提供了扎实的数据支撑和现场实证基础。</w:t>
      </w:r>
    </w:p>
    <w:p w14:paraId="3332038F" w14:textId="7020C2EB" w:rsidR="000B76D1" w:rsidRDefault="000B76D1" w:rsidP="000B76D1">
      <w:pPr>
        <w:snapToGrid w:val="0"/>
        <w:ind w:firstLine="562"/>
        <w:rPr>
          <w:b/>
          <w:bCs/>
        </w:rPr>
      </w:pPr>
      <w:r>
        <w:rPr>
          <w:rFonts w:hint="eastAsia"/>
          <w:b/>
          <w:bCs/>
        </w:rPr>
        <w:t>（</w:t>
      </w:r>
      <w:r>
        <w:rPr>
          <w:rFonts w:hint="eastAsia"/>
          <w:b/>
          <w:bCs/>
        </w:rPr>
        <w:t>4</w:t>
      </w:r>
      <w:r>
        <w:rPr>
          <w:rFonts w:hint="eastAsia"/>
          <w:b/>
          <w:bCs/>
        </w:rPr>
        <w:t>）标准</w:t>
      </w:r>
      <w:r>
        <w:rPr>
          <w:rFonts w:hint="eastAsia"/>
          <w:b/>
          <w:bCs/>
        </w:rPr>
        <w:t>内容</w:t>
      </w:r>
      <w:r w:rsidR="00DE6E10">
        <w:rPr>
          <w:rFonts w:hint="eastAsia"/>
          <w:b/>
          <w:bCs/>
        </w:rPr>
        <w:t>与技术方法</w:t>
      </w:r>
      <w:r>
        <w:rPr>
          <w:rFonts w:hint="eastAsia"/>
          <w:b/>
          <w:bCs/>
        </w:rPr>
        <w:t>讨论</w:t>
      </w:r>
    </w:p>
    <w:p w14:paraId="20BF5FEA" w14:textId="0E31D350" w:rsidR="000B76D1" w:rsidRDefault="000B76D1" w:rsidP="000B76D1">
      <w:pPr>
        <w:snapToGrid w:val="0"/>
        <w:ind w:firstLine="560"/>
      </w:pPr>
      <w:r>
        <w:rPr>
          <w:rFonts w:hint="eastAsia"/>
        </w:rPr>
        <w:t>标准起草组曾多次组织</w:t>
      </w:r>
      <w:r w:rsidR="00DE6E10">
        <w:rPr>
          <w:rFonts w:hint="eastAsia"/>
        </w:rPr>
        <w:t>标准内容</w:t>
      </w:r>
      <w:r>
        <w:rPr>
          <w:rFonts w:hint="eastAsia"/>
        </w:rPr>
        <w:t>讨论会议，对分区分类分级的技术流程、指标阈值及判定方法的科学性、可操作性进行逐条审议，并就术语定义、结构逻辑及与其他标准的协调性进行了充分研讨，为后续修改完善奠定了坚实基础。</w:t>
      </w:r>
    </w:p>
    <w:p w14:paraId="65BA509A" w14:textId="5B2AA43F" w:rsidR="00190C48" w:rsidRDefault="001C30E7" w:rsidP="004355F2">
      <w:pPr>
        <w:snapToGrid w:val="0"/>
        <w:ind w:firstLine="562"/>
        <w:rPr>
          <w:b/>
          <w:bCs/>
        </w:rPr>
      </w:pPr>
      <w:r>
        <w:rPr>
          <w:rFonts w:hint="eastAsia"/>
          <w:b/>
          <w:bCs/>
        </w:rPr>
        <w:t>（</w:t>
      </w:r>
      <w:r w:rsidR="00DE6E10">
        <w:rPr>
          <w:rFonts w:hint="eastAsia"/>
          <w:b/>
          <w:bCs/>
        </w:rPr>
        <w:t>5</w:t>
      </w:r>
      <w:r>
        <w:rPr>
          <w:rFonts w:hint="eastAsia"/>
          <w:b/>
          <w:bCs/>
        </w:rPr>
        <w:t>）平台对接与讨论</w:t>
      </w:r>
    </w:p>
    <w:p w14:paraId="37B305A7" w14:textId="318F9112" w:rsidR="00190C48" w:rsidRDefault="00DE6E10" w:rsidP="004355F2">
      <w:pPr>
        <w:snapToGrid w:val="0"/>
        <w:ind w:firstLine="560"/>
      </w:pPr>
      <w:r>
        <w:rPr>
          <w:rFonts w:hint="eastAsia"/>
        </w:rPr>
        <w:t>为推进</w:t>
      </w:r>
      <w:r w:rsidR="00633074">
        <w:rPr>
          <w:rFonts w:hint="eastAsia"/>
        </w:rPr>
        <w:t>技术指南的推广应用，标准</w:t>
      </w:r>
      <w:r w:rsidR="001C30E7">
        <w:rPr>
          <w:rFonts w:hint="eastAsia"/>
        </w:rPr>
        <w:t>起草组与专业技术人员</w:t>
      </w:r>
      <w:r w:rsidR="00633074">
        <w:rPr>
          <w:rFonts w:hint="eastAsia"/>
        </w:rPr>
        <w:t>以技术指南为</w:t>
      </w:r>
      <w:r w:rsidR="007F4A8F">
        <w:rPr>
          <w:rFonts w:hint="eastAsia"/>
        </w:rPr>
        <w:t>核心开发</w:t>
      </w:r>
      <w:r w:rsidR="001C30E7">
        <w:rPr>
          <w:rFonts w:hint="eastAsia"/>
        </w:rPr>
        <w:t>智能评估系统</w:t>
      </w:r>
      <w:r w:rsidR="007F4A8F">
        <w:rPr>
          <w:rFonts w:hint="eastAsia"/>
        </w:rPr>
        <w:t>进行了</w:t>
      </w:r>
      <w:r w:rsidR="001C30E7">
        <w:rPr>
          <w:rFonts w:hint="eastAsia"/>
        </w:rPr>
        <w:t>多轮对接与专题讨论，重点针对数据接口兼容性、评估算法、以及评估结果输出形式的科学性与美观性进行优化，确保该系统可有效支持指南核心技术的自动化、智能化应用。</w:t>
      </w:r>
    </w:p>
    <w:p w14:paraId="35E91DD1" w14:textId="77777777" w:rsidR="00190C48" w:rsidRDefault="001C30E7" w:rsidP="004355F2">
      <w:pPr>
        <w:snapToGrid w:val="0"/>
        <w:ind w:firstLine="562"/>
        <w:rPr>
          <w:b/>
          <w:bCs/>
        </w:rPr>
      </w:pPr>
      <w:r>
        <w:rPr>
          <w:rFonts w:hint="eastAsia"/>
          <w:b/>
          <w:bCs/>
        </w:rPr>
        <w:t>（</w:t>
      </w:r>
      <w:r>
        <w:rPr>
          <w:rFonts w:hint="eastAsia"/>
          <w:b/>
          <w:bCs/>
        </w:rPr>
        <w:t>6</w:t>
      </w:r>
      <w:r>
        <w:rPr>
          <w:rFonts w:hint="eastAsia"/>
          <w:b/>
          <w:bCs/>
        </w:rPr>
        <w:t>）召开立项论证会，对指南草案审查</w:t>
      </w:r>
    </w:p>
    <w:p w14:paraId="3E487FFB" w14:textId="377022B2" w:rsidR="0014484B" w:rsidRPr="00C20FF5" w:rsidRDefault="001C30E7" w:rsidP="004355F2">
      <w:pPr>
        <w:snapToGrid w:val="0"/>
        <w:ind w:firstLine="560"/>
        <w:rPr>
          <w:rFonts w:hint="eastAsia"/>
        </w:rPr>
      </w:pPr>
      <w:r w:rsidRPr="00C20FF5">
        <w:rPr>
          <w:rFonts w:hint="eastAsia"/>
        </w:rPr>
        <w:t>中华环保联合会于</w:t>
      </w:r>
      <w:r w:rsidR="00492BB4">
        <w:rPr>
          <w:rFonts w:hint="eastAsia"/>
        </w:rPr>
        <w:t>2</w:t>
      </w:r>
      <w:r w:rsidR="00492BB4">
        <w:t>025</w:t>
      </w:r>
      <w:r w:rsidR="00492BB4">
        <w:rPr>
          <w:rFonts w:hint="eastAsia"/>
        </w:rPr>
        <w:t>年</w:t>
      </w:r>
      <w:r w:rsidR="00492BB4">
        <w:rPr>
          <w:rFonts w:hint="eastAsia"/>
        </w:rPr>
        <w:t>1</w:t>
      </w:r>
      <w:r w:rsidR="00492BB4">
        <w:t>0</w:t>
      </w:r>
      <w:r w:rsidR="00492BB4">
        <w:rPr>
          <w:rFonts w:hint="eastAsia"/>
        </w:rPr>
        <w:t>月</w:t>
      </w:r>
      <w:r w:rsidR="00797024">
        <w:rPr>
          <w:rFonts w:hint="eastAsia"/>
        </w:rPr>
        <w:t>24</w:t>
      </w:r>
      <w:r w:rsidR="00797024">
        <w:rPr>
          <w:rFonts w:hint="eastAsia"/>
        </w:rPr>
        <w:t>日</w:t>
      </w:r>
      <w:r w:rsidR="00492BB4">
        <w:rPr>
          <w:rFonts w:hint="eastAsia"/>
        </w:rPr>
        <w:t>在</w:t>
      </w:r>
      <w:r w:rsidRPr="00C20FF5">
        <w:rPr>
          <w:rFonts w:hint="eastAsia"/>
        </w:rPr>
        <w:t>北京组织召开</w:t>
      </w:r>
      <w:r w:rsidR="00F43D08">
        <w:rPr>
          <w:rFonts w:hint="eastAsia"/>
        </w:rPr>
        <w:t>《工业集聚区土壤</w:t>
      </w:r>
      <w:r w:rsidR="00F43D08">
        <w:rPr>
          <w:rFonts w:hint="eastAsia"/>
        </w:rPr>
        <w:t>-</w:t>
      </w:r>
      <w:r w:rsidR="00F43D08">
        <w:rPr>
          <w:rFonts w:hint="eastAsia"/>
        </w:rPr>
        <w:t>地下水污染分区分类分级技术指南》</w:t>
      </w:r>
      <w:r w:rsidRPr="00C20FF5">
        <w:rPr>
          <w:rFonts w:hint="eastAsia"/>
        </w:rPr>
        <w:t>标准立项</w:t>
      </w:r>
      <w:r w:rsidR="00F43D08">
        <w:rPr>
          <w:rFonts w:hint="eastAsia"/>
        </w:rPr>
        <w:t>评审</w:t>
      </w:r>
      <w:r w:rsidRPr="00C20FF5">
        <w:rPr>
          <w:rFonts w:hint="eastAsia"/>
        </w:rPr>
        <w:t>会</w:t>
      </w:r>
      <w:r w:rsidR="00797024">
        <w:rPr>
          <w:rFonts w:hint="eastAsia"/>
        </w:rPr>
        <w:t>。</w:t>
      </w:r>
      <w:r w:rsidR="00083A48">
        <w:rPr>
          <w:rFonts w:hint="eastAsia"/>
        </w:rPr>
        <w:t>与会专家认为该标准可为工业集聚区土壤</w:t>
      </w:r>
      <w:r w:rsidR="00083A48">
        <w:rPr>
          <w:rFonts w:hint="eastAsia"/>
        </w:rPr>
        <w:t>-</w:t>
      </w:r>
      <w:r w:rsidR="00083A48">
        <w:rPr>
          <w:rFonts w:hint="eastAsia"/>
        </w:rPr>
        <w:t>地下水污染分区分类分级管理提供技术支撑；标准承担单位具有较好的工作基础，可为标准的顺利制定提供有力保障</w:t>
      </w:r>
      <w:r w:rsidR="003B1A44">
        <w:rPr>
          <w:rFonts w:hint="eastAsia"/>
        </w:rPr>
        <w:t>；</w:t>
      </w:r>
      <w:r w:rsidR="003B1A44">
        <w:rPr>
          <w:rFonts w:hint="eastAsia"/>
        </w:rPr>
        <w:t>同意该标准作为中华环保联合会团体标准立项。</w:t>
      </w:r>
      <w:r w:rsidR="00083A48">
        <w:rPr>
          <w:rFonts w:hint="eastAsia"/>
        </w:rPr>
        <w:t>同时专家建议</w:t>
      </w:r>
      <w:r w:rsidR="000A7252">
        <w:rPr>
          <w:rFonts w:hint="eastAsia"/>
        </w:rPr>
        <w:t>进一步梳理关键技术内容，做好与相关国家、行业标准等衔接。</w:t>
      </w:r>
    </w:p>
    <w:p w14:paraId="19FFF544" w14:textId="3BDD3C2B" w:rsidR="00190C48" w:rsidRDefault="00E647DB" w:rsidP="004355F2">
      <w:pPr>
        <w:numPr>
          <w:ilvl w:val="0"/>
          <w:numId w:val="1"/>
        </w:numPr>
        <w:snapToGrid w:val="0"/>
        <w:ind w:firstLine="562"/>
        <w:rPr>
          <w:b/>
          <w:bCs/>
        </w:rPr>
      </w:pPr>
      <w:r>
        <w:rPr>
          <w:rFonts w:hint="eastAsia"/>
          <w:b/>
          <w:bCs/>
        </w:rPr>
        <w:t>征求意见稿及内部研讨</w:t>
      </w:r>
    </w:p>
    <w:p w14:paraId="0C7EF94A" w14:textId="4008DAC5" w:rsidR="00E64709" w:rsidRDefault="00E64709" w:rsidP="00767A98">
      <w:pPr>
        <w:snapToGrid w:val="0"/>
        <w:ind w:firstLine="560"/>
        <w:rPr>
          <w:rFonts w:hint="eastAsia"/>
        </w:rPr>
      </w:pPr>
      <w:r>
        <w:rPr>
          <w:rFonts w:hint="eastAsia"/>
        </w:rPr>
        <w:t>标准立项后，</w:t>
      </w:r>
      <w:r w:rsidR="00767A98">
        <w:rPr>
          <w:rFonts w:hint="eastAsia"/>
        </w:rPr>
        <w:t>起草组就立项会上专家提出的建议进行了修改，同</w:t>
      </w:r>
      <w:r w:rsidR="00767A98">
        <w:rPr>
          <w:rFonts w:hint="eastAsia"/>
        </w:rPr>
        <w:lastRenderedPageBreak/>
        <w:t>时组织内部研讨</w:t>
      </w:r>
      <w:r w:rsidR="00157FD6">
        <w:rPr>
          <w:rFonts w:hint="eastAsia"/>
        </w:rPr>
        <w:t>，进一步完善指南内容。</w:t>
      </w:r>
      <w:r w:rsidR="00157FD6">
        <w:rPr>
          <w:rFonts w:hint="eastAsia"/>
        </w:rPr>
        <w:t>2025</w:t>
      </w:r>
      <w:r w:rsidR="00157FD6">
        <w:rPr>
          <w:rFonts w:hint="eastAsia"/>
        </w:rPr>
        <w:t>年</w:t>
      </w:r>
      <w:r w:rsidR="00157FD6">
        <w:rPr>
          <w:rFonts w:hint="eastAsia"/>
        </w:rPr>
        <w:t>11</w:t>
      </w:r>
      <w:r w:rsidR="00157FD6">
        <w:rPr>
          <w:rFonts w:hint="eastAsia"/>
        </w:rPr>
        <w:t>月</w:t>
      </w:r>
      <w:r w:rsidR="00157FD6">
        <w:rPr>
          <w:rFonts w:hint="eastAsia"/>
        </w:rPr>
        <w:t>28</w:t>
      </w:r>
      <w:r w:rsidR="00157FD6">
        <w:rPr>
          <w:rFonts w:hint="eastAsia"/>
        </w:rPr>
        <w:t>日，中华</w:t>
      </w:r>
      <w:r w:rsidR="00960AF6">
        <w:rPr>
          <w:rFonts w:hint="eastAsia"/>
        </w:rPr>
        <w:t>环保</w:t>
      </w:r>
      <w:r w:rsidR="00157FD6">
        <w:rPr>
          <w:rFonts w:hint="eastAsia"/>
        </w:rPr>
        <w:t>联合</w:t>
      </w:r>
      <w:r w:rsidR="00960AF6">
        <w:rPr>
          <w:rFonts w:hint="eastAsia"/>
        </w:rPr>
        <w:t>会组织专家对该指南进行了审查</w:t>
      </w:r>
      <w:r w:rsidR="00290648">
        <w:rPr>
          <w:rFonts w:hint="eastAsia"/>
        </w:rPr>
        <w:t>。</w:t>
      </w:r>
      <w:r w:rsidR="00DB4BAF">
        <w:rPr>
          <w:rFonts w:hint="eastAsia"/>
        </w:rPr>
        <w:t>审查会上专家</w:t>
      </w:r>
      <w:r w:rsidR="00A0385B">
        <w:rPr>
          <w:rFonts w:hint="eastAsia"/>
        </w:rPr>
        <w:t>组认为</w:t>
      </w:r>
      <w:r w:rsidR="00A0385B">
        <w:rPr>
          <w:rFonts w:hint="eastAsia"/>
        </w:rPr>
        <w:t>标准范围明确，结</w:t>
      </w:r>
      <w:r w:rsidR="000A0742">
        <w:rPr>
          <w:rFonts w:hint="eastAsia"/>
        </w:rPr>
        <w:t>构</w:t>
      </w:r>
      <w:r w:rsidR="00A0385B">
        <w:rPr>
          <w:rFonts w:hint="eastAsia"/>
        </w:rPr>
        <w:t>层次设置合理，条款内容基本完善</w:t>
      </w:r>
      <w:r w:rsidR="000A0742">
        <w:rPr>
          <w:rFonts w:hint="eastAsia"/>
        </w:rPr>
        <w:t>，</w:t>
      </w:r>
      <w:r w:rsidR="00A0385B">
        <w:rPr>
          <w:rFonts w:hint="eastAsia"/>
        </w:rPr>
        <w:t>可为工业集聚区土壤</w:t>
      </w:r>
      <w:r w:rsidR="00A0385B">
        <w:rPr>
          <w:rFonts w:hint="eastAsia"/>
        </w:rPr>
        <w:t>-</w:t>
      </w:r>
      <w:r w:rsidR="00A0385B">
        <w:rPr>
          <w:rFonts w:hint="eastAsia"/>
        </w:rPr>
        <w:t>地下水污染分区分类提供技术依据</w:t>
      </w:r>
      <w:r w:rsidR="000A0742">
        <w:rPr>
          <w:rFonts w:hint="eastAsia"/>
        </w:rPr>
        <w:t>。同时建议标准名称修改为《工业集聚区土壤</w:t>
      </w:r>
      <w:r w:rsidR="000A0742">
        <w:rPr>
          <w:rFonts w:hint="eastAsia"/>
        </w:rPr>
        <w:t>-</w:t>
      </w:r>
      <w:r w:rsidR="000A0742">
        <w:rPr>
          <w:rFonts w:hint="eastAsia"/>
        </w:rPr>
        <w:t>地下水污染分区分类技术指南》，并进一步梳理相关技术内容，完善标准文本和编制说明</w:t>
      </w:r>
      <w:r w:rsidR="002D481E">
        <w:rPr>
          <w:rFonts w:hint="eastAsia"/>
        </w:rPr>
        <w:t>。</w:t>
      </w:r>
      <w:r w:rsidR="00A0385B">
        <w:rPr>
          <w:rFonts w:hint="eastAsia"/>
        </w:rPr>
        <w:t xml:space="preserve"> </w:t>
      </w:r>
    </w:p>
    <w:p w14:paraId="0B70F119" w14:textId="77777777" w:rsidR="00190C48" w:rsidRPr="004263FC" w:rsidRDefault="001C30E7" w:rsidP="004355F2">
      <w:pPr>
        <w:numPr>
          <w:ilvl w:val="0"/>
          <w:numId w:val="1"/>
        </w:numPr>
        <w:snapToGrid w:val="0"/>
        <w:ind w:firstLine="562"/>
        <w:rPr>
          <w:b/>
          <w:bCs/>
        </w:rPr>
      </w:pPr>
      <w:r w:rsidRPr="004263FC">
        <w:rPr>
          <w:rFonts w:hint="eastAsia"/>
          <w:b/>
          <w:bCs/>
        </w:rPr>
        <w:t>召开终稿审查会（待补充）</w:t>
      </w:r>
    </w:p>
    <w:p w14:paraId="06DDF2D3" w14:textId="77777777" w:rsidR="00190C48" w:rsidRDefault="001C30E7">
      <w:pPr>
        <w:pStyle w:val="1"/>
      </w:pPr>
      <w:bookmarkStart w:id="3" w:name="_Toc212038021"/>
      <w:r>
        <w:t>二、</w:t>
      </w:r>
      <w:r>
        <w:rPr>
          <w:rFonts w:hint="eastAsia"/>
        </w:rPr>
        <w:t>标准编制原则和确定主要内容的论据</w:t>
      </w:r>
      <w:bookmarkEnd w:id="3"/>
    </w:p>
    <w:p w14:paraId="0BB9389C" w14:textId="77777777" w:rsidR="00190C48" w:rsidRDefault="001C30E7" w:rsidP="00492BB4">
      <w:pPr>
        <w:pStyle w:val="2"/>
        <w:snapToGrid w:val="0"/>
      </w:pPr>
      <w:r>
        <w:rPr>
          <w:rFonts w:hint="eastAsia"/>
        </w:rPr>
        <w:t>1.</w:t>
      </w:r>
      <w:r>
        <w:rPr>
          <w:rFonts w:hint="eastAsia"/>
        </w:rPr>
        <w:t>编制原则</w:t>
      </w:r>
    </w:p>
    <w:p w14:paraId="5BBD75BD" w14:textId="77777777" w:rsidR="00190C48" w:rsidRDefault="001C30E7" w:rsidP="00492BB4">
      <w:pPr>
        <w:snapToGrid w:val="0"/>
        <w:ind w:firstLine="560"/>
      </w:pPr>
      <w:r>
        <w:rPr>
          <w:rFonts w:hint="eastAsia"/>
        </w:rPr>
        <w:t>本标准遵循科学性、技术可行性与实用性的原则，严格依据</w:t>
      </w:r>
      <w:r>
        <w:rPr>
          <w:rFonts w:hint="eastAsia"/>
        </w:rPr>
        <w:t>GB/T1.1-2020</w:t>
      </w:r>
      <w:r>
        <w:rPr>
          <w:rFonts w:hint="eastAsia"/>
        </w:rPr>
        <w:t>要求进行制订。</w:t>
      </w:r>
    </w:p>
    <w:p w14:paraId="0E5AAEED" w14:textId="4F5B63C7" w:rsidR="00190C48" w:rsidRDefault="001C30E7" w:rsidP="00492BB4">
      <w:pPr>
        <w:snapToGrid w:val="0"/>
        <w:ind w:firstLine="560"/>
      </w:pPr>
      <w:r>
        <w:rPr>
          <w:rFonts w:hint="eastAsia"/>
        </w:rPr>
        <w:t>（</w:t>
      </w:r>
      <w:r>
        <w:rPr>
          <w:rFonts w:hint="eastAsia"/>
        </w:rPr>
        <w:t>1</w:t>
      </w:r>
      <w:r>
        <w:rPr>
          <w:rFonts w:hint="eastAsia"/>
        </w:rPr>
        <w:t>）以“源</w:t>
      </w:r>
      <w:r>
        <w:rPr>
          <w:rFonts w:hint="eastAsia"/>
        </w:rPr>
        <w:t>-</w:t>
      </w:r>
      <w:r>
        <w:rPr>
          <w:rFonts w:hint="eastAsia"/>
        </w:rPr>
        <w:t>迁</w:t>
      </w:r>
      <w:r>
        <w:rPr>
          <w:rFonts w:hint="eastAsia"/>
        </w:rPr>
        <w:t>-</w:t>
      </w:r>
      <w:r>
        <w:rPr>
          <w:rFonts w:hint="eastAsia"/>
        </w:rPr>
        <w:t>汇”理论为基础，结合实地调查</w:t>
      </w:r>
      <w:r w:rsidR="00492BB4">
        <w:rPr>
          <w:rFonts w:hint="eastAsia"/>
        </w:rPr>
        <w:t>与实证分析</w:t>
      </w:r>
      <w:r>
        <w:rPr>
          <w:rFonts w:hint="eastAsia"/>
        </w:rPr>
        <w:t>，科学确定分区分类分级的技术体系与判别标准。</w:t>
      </w:r>
    </w:p>
    <w:p w14:paraId="47F576B7" w14:textId="77777777" w:rsidR="00190C48" w:rsidRDefault="001C30E7" w:rsidP="00492BB4">
      <w:pPr>
        <w:snapToGrid w:val="0"/>
        <w:ind w:firstLine="560"/>
      </w:pPr>
      <w:r>
        <w:rPr>
          <w:rFonts w:hint="eastAsia"/>
        </w:rPr>
        <w:t>（</w:t>
      </w:r>
      <w:r>
        <w:rPr>
          <w:rFonts w:hint="eastAsia"/>
        </w:rPr>
        <w:t>2</w:t>
      </w:r>
      <w:r>
        <w:rPr>
          <w:rFonts w:hint="eastAsia"/>
        </w:rPr>
        <w:t>）与现行国家及行业标准、政策相衔接，确保技术指标合理可控，增强标准在实际管理中的适用性和可行性。</w:t>
      </w:r>
    </w:p>
    <w:p w14:paraId="2ED8224C" w14:textId="77777777" w:rsidR="00190C48" w:rsidRDefault="001C30E7" w:rsidP="00492BB4">
      <w:pPr>
        <w:snapToGrid w:val="0"/>
        <w:ind w:firstLine="560"/>
      </w:pPr>
      <w:r>
        <w:rPr>
          <w:rFonts w:hint="eastAsia"/>
        </w:rPr>
        <w:t>（</w:t>
      </w:r>
      <w:r>
        <w:rPr>
          <w:rFonts w:hint="eastAsia"/>
        </w:rPr>
        <w:t>3</w:t>
      </w:r>
      <w:r>
        <w:rPr>
          <w:rFonts w:hint="eastAsia"/>
        </w:rPr>
        <w:t>）充分结合典型工业集聚区调研案例及智能评估系统开发成果，注重标准条款的实用性和可推广性，为污染精准管控和分级治理提供可靠的技术依据。</w:t>
      </w:r>
    </w:p>
    <w:p w14:paraId="34A892F4" w14:textId="3CED5967" w:rsidR="00190C48" w:rsidRDefault="001C30E7">
      <w:pPr>
        <w:pStyle w:val="2"/>
      </w:pPr>
      <w:r>
        <w:rPr>
          <w:rFonts w:hint="eastAsia"/>
        </w:rPr>
        <w:t>2</w:t>
      </w:r>
      <w:r>
        <w:rPr>
          <w:rFonts w:hint="eastAsia"/>
        </w:rPr>
        <w:t>.</w:t>
      </w:r>
      <w:r>
        <w:t>标准</w:t>
      </w:r>
      <w:r w:rsidR="00492BB4">
        <w:rPr>
          <w:rFonts w:hint="eastAsia"/>
        </w:rPr>
        <w:t>编制主要</w:t>
      </w:r>
      <w:r>
        <w:t>论据</w:t>
      </w:r>
    </w:p>
    <w:p w14:paraId="0CC3BB6F" w14:textId="77777777" w:rsidR="00FA421A" w:rsidRDefault="001C30E7" w:rsidP="00492BB4">
      <w:pPr>
        <w:snapToGrid w:val="0"/>
        <w:ind w:firstLine="560"/>
        <w:rPr>
          <w:b/>
        </w:rPr>
      </w:pPr>
      <w:r>
        <w:rPr>
          <w:rFonts w:hint="eastAsia"/>
        </w:rPr>
        <w:t>（</w:t>
      </w:r>
      <w:r>
        <w:rPr>
          <w:rFonts w:hint="eastAsia"/>
        </w:rPr>
        <w:t>1</w:t>
      </w:r>
      <w:r>
        <w:rPr>
          <w:rFonts w:hint="eastAsia"/>
        </w:rPr>
        <w:t>）</w:t>
      </w:r>
      <w:r>
        <w:rPr>
          <w:rFonts w:hint="eastAsia"/>
          <w:b/>
        </w:rPr>
        <w:t>理论框架科学</w:t>
      </w:r>
    </w:p>
    <w:p w14:paraId="421A7035" w14:textId="2B987DD7" w:rsidR="00190C48" w:rsidRDefault="001C30E7" w:rsidP="00492BB4">
      <w:pPr>
        <w:snapToGrid w:val="0"/>
        <w:ind w:firstLine="560"/>
      </w:pPr>
      <w:r>
        <w:rPr>
          <w:rFonts w:hint="eastAsia"/>
        </w:rPr>
        <w:t>针对工业集聚区污染</w:t>
      </w:r>
      <w:r w:rsidR="00492BB4">
        <w:rPr>
          <w:rFonts w:hint="eastAsia"/>
        </w:rPr>
        <w:t>释放及迁移特点，以及环境管理要求</w:t>
      </w:r>
      <w:r>
        <w:rPr>
          <w:rFonts w:hint="eastAsia"/>
        </w:rPr>
        <w:t>，本标准</w:t>
      </w:r>
      <w:r w:rsidR="00492BB4">
        <w:rPr>
          <w:rFonts w:hint="eastAsia"/>
        </w:rPr>
        <w:t>基于</w:t>
      </w:r>
      <w:r>
        <w:rPr>
          <w:rFonts w:hint="eastAsia"/>
        </w:rPr>
        <w:t>污染物</w:t>
      </w:r>
      <w:r w:rsidR="00492BB4">
        <w:rPr>
          <w:rFonts w:hint="eastAsia"/>
        </w:rPr>
        <w:t>泄露</w:t>
      </w:r>
      <w:r>
        <w:rPr>
          <w:rFonts w:hint="eastAsia"/>
        </w:rPr>
        <w:t>、迁移</w:t>
      </w:r>
      <w:r w:rsidR="00492BB4">
        <w:rPr>
          <w:rFonts w:hint="eastAsia"/>
        </w:rPr>
        <w:t>、环境汇集</w:t>
      </w:r>
      <w:r>
        <w:rPr>
          <w:rFonts w:hint="eastAsia"/>
        </w:rPr>
        <w:t>的全过程理论，系统构建了包含污染源荷载、污染迁移和环境脆弱性</w:t>
      </w:r>
      <w:r>
        <w:rPr>
          <w:rFonts w:hint="eastAsia"/>
        </w:rPr>
        <w:t>3</w:t>
      </w:r>
      <w:r>
        <w:rPr>
          <w:rFonts w:hint="eastAsia"/>
        </w:rPr>
        <w:t>个一级指标、</w:t>
      </w:r>
      <w:r>
        <w:rPr>
          <w:rFonts w:hint="eastAsia"/>
        </w:rPr>
        <w:t>8</w:t>
      </w:r>
      <w:r>
        <w:rPr>
          <w:rFonts w:hint="eastAsia"/>
        </w:rPr>
        <w:t>个二级指标及</w:t>
      </w:r>
      <w:r w:rsidR="00E07BF1">
        <w:rPr>
          <w:rFonts w:hint="eastAsia"/>
        </w:rPr>
        <w:lastRenderedPageBreak/>
        <w:t>25</w:t>
      </w:r>
      <w:r w:rsidR="00343EA5">
        <w:rPr>
          <w:rFonts w:hint="eastAsia"/>
        </w:rPr>
        <w:t>项土壤</w:t>
      </w:r>
      <w:r w:rsidR="00E07BF1">
        <w:rPr>
          <w:rFonts w:hint="eastAsia"/>
        </w:rPr>
        <w:t>、</w:t>
      </w:r>
      <w:r w:rsidR="00E07BF1">
        <w:rPr>
          <w:rFonts w:hint="eastAsia"/>
        </w:rPr>
        <w:t>28</w:t>
      </w:r>
      <w:r w:rsidR="00343EA5">
        <w:rPr>
          <w:rFonts w:hint="eastAsia"/>
        </w:rPr>
        <w:t>项地下水三级指标</w:t>
      </w:r>
      <w:r>
        <w:rPr>
          <w:rFonts w:hint="eastAsia"/>
        </w:rPr>
        <w:t>的评价体系。该框架确保了风险识别的系统性，指标筛选兼顾科学性与数据可得性，为精准量化评估提供了基础。</w:t>
      </w:r>
    </w:p>
    <w:p w14:paraId="5E32AC84" w14:textId="77777777" w:rsidR="00FA421A" w:rsidRDefault="001C30E7" w:rsidP="00492BB4">
      <w:pPr>
        <w:snapToGrid w:val="0"/>
        <w:ind w:firstLine="560"/>
        <w:rPr>
          <w:b/>
        </w:rPr>
      </w:pPr>
      <w:r>
        <w:rPr>
          <w:rFonts w:hint="eastAsia"/>
        </w:rPr>
        <w:t>（</w:t>
      </w:r>
      <w:r>
        <w:rPr>
          <w:rFonts w:hint="eastAsia"/>
        </w:rPr>
        <w:t>2</w:t>
      </w:r>
      <w:r>
        <w:rPr>
          <w:rFonts w:hint="eastAsia"/>
        </w:rPr>
        <w:t>）</w:t>
      </w:r>
      <w:r>
        <w:rPr>
          <w:rFonts w:hint="eastAsia"/>
          <w:b/>
        </w:rPr>
        <w:t>指标赋分有据</w:t>
      </w:r>
    </w:p>
    <w:p w14:paraId="0B4F8BBB" w14:textId="3B96A3CC" w:rsidR="00190C48" w:rsidRDefault="001C30E7" w:rsidP="00492BB4">
      <w:pPr>
        <w:snapToGrid w:val="0"/>
        <w:ind w:firstLine="560"/>
      </w:pPr>
      <w:r>
        <w:rPr>
          <w:rFonts w:hint="eastAsia"/>
        </w:rPr>
        <w:t>各项三级指标的等级划分与赋分值主要参考国内外相关技术规范（如</w:t>
      </w:r>
      <w:r>
        <w:rPr>
          <w:rFonts w:hint="eastAsia"/>
        </w:rPr>
        <w:t>HJ 25</w:t>
      </w:r>
      <w:r>
        <w:rPr>
          <w:rFonts w:hint="eastAsia"/>
        </w:rPr>
        <w:t>系列标准）、现有研究成果</w:t>
      </w:r>
      <w:r w:rsidR="00492BB4">
        <w:rPr>
          <w:rFonts w:hint="eastAsia"/>
        </w:rPr>
        <w:t>，并用</w:t>
      </w:r>
      <w:r>
        <w:rPr>
          <w:rFonts w:hint="eastAsia"/>
        </w:rPr>
        <w:t>实际案例</w:t>
      </w:r>
      <w:r w:rsidR="00492BB4">
        <w:rPr>
          <w:rFonts w:hint="eastAsia"/>
        </w:rPr>
        <w:t>进行</w:t>
      </w:r>
      <w:r>
        <w:rPr>
          <w:rFonts w:hint="eastAsia"/>
        </w:rPr>
        <w:t>验证，突出关键驱动因子。一级指标权重（污染源荷载</w:t>
      </w:r>
      <w:r>
        <w:rPr>
          <w:rFonts w:hint="eastAsia"/>
        </w:rPr>
        <w:t>40%</w:t>
      </w:r>
      <w:r>
        <w:rPr>
          <w:rFonts w:hint="eastAsia"/>
        </w:rPr>
        <w:t>、迁移能力</w:t>
      </w:r>
      <w:r w:rsidR="00632006">
        <w:rPr>
          <w:rFonts w:hint="eastAsia"/>
        </w:rPr>
        <w:t>4</w:t>
      </w:r>
      <w:r>
        <w:rPr>
          <w:rFonts w:hint="eastAsia"/>
        </w:rPr>
        <w:t>0%</w:t>
      </w:r>
      <w:r>
        <w:rPr>
          <w:rFonts w:hint="eastAsia"/>
        </w:rPr>
        <w:t>、环境脆弱性</w:t>
      </w:r>
      <w:r w:rsidR="00632006">
        <w:rPr>
          <w:rFonts w:hint="eastAsia"/>
        </w:rPr>
        <w:t>2</w:t>
      </w:r>
      <w:r>
        <w:rPr>
          <w:rFonts w:hint="eastAsia"/>
        </w:rPr>
        <w:t>0%</w:t>
      </w:r>
      <w:r>
        <w:rPr>
          <w:rFonts w:hint="eastAsia"/>
        </w:rPr>
        <w:t>）体现</w:t>
      </w:r>
      <w:r w:rsidR="00E220BF">
        <w:rPr>
          <w:rFonts w:hint="eastAsia"/>
        </w:rPr>
        <w:t>源头</w:t>
      </w:r>
      <w:r w:rsidR="0060367D">
        <w:rPr>
          <w:rFonts w:hint="eastAsia"/>
        </w:rPr>
        <w:t>及</w:t>
      </w:r>
      <w:r w:rsidR="0060367D">
        <w:rPr>
          <w:rFonts w:hint="eastAsia"/>
        </w:rPr>
        <w:t>风险</w:t>
      </w:r>
      <w:r w:rsidR="0060367D">
        <w:rPr>
          <w:rFonts w:hint="eastAsia"/>
        </w:rPr>
        <w:t>扩散</w:t>
      </w:r>
      <w:r w:rsidR="00E220BF">
        <w:rPr>
          <w:rFonts w:hint="eastAsia"/>
        </w:rPr>
        <w:t>优先</w:t>
      </w:r>
      <w:r w:rsidR="0060367D">
        <w:rPr>
          <w:rFonts w:hint="eastAsia"/>
        </w:rPr>
        <w:t>控制</w:t>
      </w:r>
      <w:r>
        <w:rPr>
          <w:rFonts w:hint="eastAsia"/>
        </w:rPr>
        <w:t>原则，</w:t>
      </w:r>
      <w:r w:rsidR="0060367D">
        <w:rPr>
          <w:rFonts w:hint="eastAsia"/>
        </w:rPr>
        <w:t>同时也</w:t>
      </w:r>
      <w:r w:rsidR="001A2F32">
        <w:rPr>
          <w:rFonts w:hint="eastAsia"/>
        </w:rPr>
        <w:t>兼顾不同用地类型对环境质量要求，</w:t>
      </w:r>
      <w:r>
        <w:rPr>
          <w:rFonts w:hint="eastAsia"/>
        </w:rPr>
        <w:t>符合我国工业集聚区环境管理实际需求。</w:t>
      </w:r>
    </w:p>
    <w:p w14:paraId="1C0A23F7" w14:textId="77777777" w:rsidR="00FA421A" w:rsidRDefault="001C30E7" w:rsidP="00492BB4">
      <w:pPr>
        <w:snapToGrid w:val="0"/>
        <w:ind w:firstLine="560"/>
        <w:rPr>
          <w:b/>
        </w:rPr>
      </w:pPr>
      <w:r>
        <w:rPr>
          <w:rFonts w:hint="eastAsia"/>
        </w:rPr>
        <w:t>（</w:t>
      </w:r>
      <w:r>
        <w:rPr>
          <w:rFonts w:hint="eastAsia"/>
        </w:rPr>
        <w:t>3</w:t>
      </w:r>
      <w:r>
        <w:rPr>
          <w:rFonts w:hint="eastAsia"/>
        </w:rPr>
        <w:t>）</w:t>
      </w:r>
      <w:r>
        <w:rPr>
          <w:rFonts w:hint="eastAsia"/>
          <w:b/>
        </w:rPr>
        <w:t>风险量化合理</w:t>
      </w:r>
    </w:p>
    <w:p w14:paraId="05B03CAF" w14:textId="4A69FA96" w:rsidR="00190C48" w:rsidRDefault="001C30E7" w:rsidP="00492BB4">
      <w:pPr>
        <w:snapToGrid w:val="0"/>
        <w:ind w:firstLine="560"/>
      </w:pPr>
      <w:r>
        <w:rPr>
          <w:rFonts w:hint="eastAsia"/>
        </w:rPr>
        <w:t>采用环境风险综合指数（</w:t>
      </w:r>
      <w:r>
        <w:rPr>
          <w:rFonts w:hint="eastAsia"/>
        </w:rPr>
        <w:t>RI</w:t>
      </w:r>
      <w:r>
        <w:rPr>
          <w:rFonts w:hint="eastAsia"/>
        </w:rPr>
        <w:t>）模型集成多维度指标</w:t>
      </w:r>
      <w:r>
        <w:rPr>
          <w:rFonts w:hint="eastAsia"/>
        </w:rPr>
        <w:t>，</w:t>
      </w:r>
      <w:r w:rsidR="00EB09FB">
        <w:rPr>
          <w:rFonts w:hint="eastAsia"/>
        </w:rPr>
        <w:t>并</w:t>
      </w:r>
      <w:r w:rsidR="00D77D76">
        <w:rPr>
          <w:rFonts w:hint="eastAsia"/>
        </w:rPr>
        <w:t>根据</w:t>
      </w:r>
      <w:r w:rsidR="006458A9">
        <w:rPr>
          <w:rFonts w:hint="eastAsia"/>
        </w:rPr>
        <w:t>风险</w:t>
      </w:r>
      <w:r w:rsidR="00D77D76">
        <w:rPr>
          <w:rFonts w:hint="eastAsia"/>
        </w:rPr>
        <w:t>指数进行</w:t>
      </w:r>
      <w:r w:rsidR="006458A9">
        <w:rPr>
          <w:rFonts w:hint="eastAsia"/>
        </w:rPr>
        <w:t>分级</w:t>
      </w:r>
      <w:r w:rsidR="00D77D76">
        <w:rPr>
          <w:rFonts w:hint="eastAsia"/>
        </w:rPr>
        <w:t>。除给出普适性风险分级</w:t>
      </w:r>
      <w:r w:rsidR="006458A9">
        <w:rPr>
          <w:rFonts w:hint="eastAsia"/>
        </w:rPr>
        <w:t>外，</w:t>
      </w:r>
      <w:r w:rsidR="00D77D76">
        <w:rPr>
          <w:rFonts w:hint="eastAsia"/>
        </w:rPr>
        <w:t>同时还可以</w:t>
      </w:r>
      <w:r w:rsidR="001D4705">
        <w:rPr>
          <w:rFonts w:hint="eastAsia"/>
        </w:rPr>
        <w:t>基于</w:t>
      </w:r>
      <w:r w:rsidR="00EB09FB">
        <w:rPr>
          <w:rFonts w:hint="eastAsia"/>
        </w:rPr>
        <w:t>园区</w:t>
      </w:r>
      <w:r w:rsidR="001D4705">
        <w:rPr>
          <w:rFonts w:hint="eastAsia"/>
        </w:rPr>
        <w:t>实际风险值进行</w:t>
      </w:r>
      <w:r w:rsidR="00635D79">
        <w:rPr>
          <w:rFonts w:hint="eastAsia"/>
        </w:rPr>
        <w:t>聚类</w:t>
      </w:r>
      <w:r>
        <w:rPr>
          <w:rFonts w:hint="eastAsia"/>
        </w:rPr>
        <w:t>划分，</w:t>
      </w:r>
      <w:r w:rsidR="001D4705">
        <w:rPr>
          <w:rFonts w:hint="eastAsia"/>
        </w:rPr>
        <w:t>有利于</w:t>
      </w:r>
      <w:r w:rsidR="00635D79">
        <w:rPr>
          <w:rFonts w:hint="eastAsia"/>
        </w:rPr>
        <w:t>园区管控。</w:t>
      </w:r>
      <w:r w:rsidR="00635D79">
        <w:rPr>
          <w:rFonts w:hint="eastAsia"/>
        </w:rPr>
        <w:t xml:space="preserve"> </w:t>
      </w:r>
    </w:p>
    <w:p w14:paraId="13AE62E1" w14:textId="77777777" w:rsidR="00FA421A" w:rsidRDefault="001C30E7" w:rsidP="00492BB4">
      <w:pPr>
        <w:snapToGrid w:val="0"/>
        <w:ind w:firstLine="560"/>
        <w:rPr>
          <w:b/>
        </w:rPr>
      </w:pPr>
      <w:r>
        <w:rPr>
          <w:rFonts w:hint="eastAsia"/>
        </w:rPr>
        <w:t>（</w:t>
      </w:r>
      <w:r>
        <w:rPr>
          <w:rFonts w:hint="eastAsia"/>
        </w:rPr>
        <w:t>4</w:t>
      </w:r>
      <w:r>
        <w:rPr>
          <w:rFonts w:hint="eastAsia"/>
        </w:rPr>
        <w:t>）</w:t>
      </w:r>
      <w:r>
        <w:rPr>
          <w:rFonts w:hint="eastAsia"/>
          <w:b/>
        </w:rPr>
        <w:t>分区方法实用</w:t>
      </w:r>
    </w:p>
    <w:p w14:paraId="5514BE72" w14:textId="79C19CEF" w:rsidR="00190C48" w:rsidRDefault="001C30E7" w:rsidP="00492BB4">
      <w:pPr>
        <w:snapToGrid w:val="0"/>
        <w:ind w:firstLine="560"/>
      </w:pPr>
      <w:r>
        <w:rPr>
          <w:rFonts w:hint="eastAsia"/>
        </w:rPr>
        <w:t>分区过程中不仅依据</w:t>
      </w:r>
      <w:r>
        <w:rPr>
          <w:rFonts w:hint="eastAsia"/>
        </w:rPr>
        <w:t>RI</w:t>
      </w:r>
      <w:r>
        <w:rPr>
          <w:rFonts w:hint="eastAsia"/>
        </w:rPr>
        <w:t>值的空间分布，更结合集聚区功能布局、水文地质单元与敏感目标空间分布，通过</w:t>
      </w:r>
      <w:r>
        <w:rPr>
          <w:rFonts w:hint="eastAsia"/>
        </w:rPr>
        <w:t>GIS</w:t>
      </w:r>
      <w:r>
        <w:rPr>
          <w:rFonts w:hint="eastAsia"/>
        </w:rPr>
        <w:t>叠置分析技术实现“风险</w:t>
      </w:r>
      <w:r>
        <w:rPr>
          <w:rFonts w:hint="eastAsia"/>
        </w:rPr>
        <w:t>-</w:t>
      </w:r>
      <w:r>
        <w:rPr>
          <w:rFonts w:hint="eastAsia"/>
        </w:rPr>
        <w:t>功能</w:t>
      </w:r>
      <w:r>
        <w:rPr>
          <w:rFonts w:hint="eastAsia"/>
        </w:rPr>
        <w:t>-</w:t>
      </w:r>
      <w:r>
        <w:rPr>
          <w:rFonts w:hint="eastAsia"/>
        </w:rPr>
        <w:t>地质”多维度耦合，提升分区结果的合理性与管理实用性。</w:t>
      </w:r>
    </w:p>
    <w:p w14:paraId="488BA1C1" w14:textId="77777777" w:rsidR="00FA421A" w:rsidRDefault="001C30E7" w:rsidP="00492BB4">
      <w:pPr>
        <w:snapToGrid w:val="0"/>
        <w:ind w:firstLine="560"/>
        <w:rPr>
          <w:b/>
        </w:rPr>
      </w:pPr>
      <w:r>
        <w:rPr>
          <w:rFonts w:hint="eastAsia"/>
        </w:rPr>
        <w:t>（</w:t>
      </w:r>
      <w:r>
        <w:rPr>
          <w:rFonts w:hint="eastAsia"/>
        </w:rPr>
        <w:t>5</w:t>
      </w:r>
      <w:r>
        <w:rPr>
          <w:rFonts w:hint="eastAsia"/>
        </w:rPr>
        <w:t>）</w:t>
      </w:r>
      <w:r>
        <w:rPr>
          <w:rFonts w:hint="eastAsia"/>
          <w:b/>
        </w:rPr>
        <w:t>管控策略差异</w:t>
      </w:r>
    </w:p>
    <w:p w14:paraId="17DAF016" w14:textId="31634645" w:rsidR="00190C48" w:rsidRDefault="001C30E7" w:rsidP="00492BB4">
      <w:pPr>
        <w:snapToGrid w:val="0"/>
        <w:ind w:firstLine="560"/>
      </w:pPr>
      <w:r>
        <w:rPr>
          <w:rFonts w:hint="eastAsia"/>
        </w:rPr>
        <w:t>根据</w:t>
      </w:r>
      <w:r w:rsidR="00237BDF">
        <w:rPr>
          <w:rFonts w:hint="eastAsia"/>
        </w:rPr>
        <w:t>风险预防</w:t>
      </w:r>
      <w:r>
        <w:rPr>
          <w:rFonts w:hint="eastAsia"/>
        </w:rPr>
        <w:t>区、</w:t>
      </w:r>
      <w:r w:rsidR="00237BDF">
        <w:rPr>
          <w:rFonts w:hint="eastAsia"/>
        </w:rPr>
        <w:t>一般管控</w:t>
      </w:r>
      <w:r>
        <w:rPr>
          <w:rFonts w:hint="eastAsia"/>
        </w:rPr>
        <w:t>区和</w:t>
      </w:r>
      <w:r w:rsidR="00237BDF">
        <w:rPr>
          <w:rFonts w:hint="eastAsia"/>
        </w:rPr>
        <w:t>重点管控</w:t>
      </w:r>
      <w:r>
        <w:rPr>
          <w:rFonts w:hint="eastAsia"/>
        </w:rPr>
        <w:t>区的划分结果，分别对应实施预防、监控及治理修复策略，确保管控措施与其风险等级、污染状况和土地用途相匹配，提高标准实施后的环境效益与经济可行性。</w:t>
      </w:r>
    </w:p>
    <w:p w14:paraId="45393935" w14:textId="77777777" w:rsidR="00190C48" w:rsidRDefault="001C30E7">
      <w:pPr>
        <w:pStyle w:val="1"/>
      </w:pPr>
      <w:bookmarkStart w:id="4" w:name="_Toc212038022"/>
      <w:r>
        <w:lastRenderedPageBreak/>
        <w:t>三、</w:t>
      </w:r>
      <w:r>
        <w:rPr>
          <w:rFonts w:hint="eastAsia"/>
        </w:rPr>
        <w:t>试验验证的分析、综述报告，技术经济论证，预期的经济效益、社会效益和生态效益</w:t>
      </w:r>
      <w:bookmarkEnd w:id="4"/>
    </w:p>
    <w:p w14:paraId="3F548F74" w14:textId="60C139CE" w:rsidR="00721A21" w:rsidRDefault="00BC7354" w:rsidP="00CA190C">
      <w:pPr>
        <w:pStyle w:val="2"/>
      </w:pPr>
      <w:r>
        <w:t>1</w:t>
      </w:r>
      <w:r w:rsidR="00CA190C">
        <w:t>.</w:t>
      </w:r>
      <w:r w:rsidR="00721A21">
        <w:rPr>
          <w:rFonts w:hint="eastAsia"/>
        </w:rPr>
        <w:t>综述报告</w:t>
      </w:r>
    </w:p>
    <w:p w14:paraId="2A102FE1" w14:textId="77777777" w:rsidR="00374431" w:rsidRDefault="00832161" w:rsidP="00BC7354">
      <w:pPr>
        <w:snapToGrid w:val="0"/>
        <w:ind w:firstLine="560"/>
      </w:pPr>
      <w:r w:rsidRPr="00832161">
        <w:rPr>
          <w:rFonts w:hint="eastAsia"/>
        </w:rPr>
        <w:t>随着我国工业化与城市化进程的持续推进，工业集聚区作为区域经济发展的重要载体，其环境安全问题日益凸显，特别是土壤与地下水复合污染问题尤为严峻。重金属、持久性有机污染物及挥发性有机物通过渗漏、径流、大气沉降等多种迁移路径输入环境系统，导致污染物在土壤</w:t>
      </w:r>
      <w:r w:rsidRPr="00832161">
        <w:rPr>
          <w:rFonts w:hint="eastAsia"/>
        </w:rPr>
        <w:t>-</w:t>
      </w:r>
      <w:r w:rsidRPr="00832161">
        <w:rPr>
          <w:rFonts w:hint="eastAsia"/>
        </w:rPr>
        <w:t>地下水介质中不断累积与扩散，显著增加了环境治理的复杂性与修复难度。</w:t>
      </w:r>
    </w:p>
    <w:p w14:paraId="4A09A34E" w14:textId="77777777" w:rsidR="009C0437" w:rsidRDefault="00832161" w:rsidP="00BC7354">
      <w:pPr>
        <w:snapToGrid w:val="0"/>
        <w:ind w:firstLine="560"/>
      </w:pPr>
      <w:r w:rsidRPr="00832161">
        <w:rPr>
          <w:rFonts w:hint="eastAsia"/>
        </w:rPr>
        <w:t>为系统应对这一挑战，我国已逐步确立完善的政策体系：</w:t>
      </w:r>
      <w:r w:rsidRPr="00832161">
        <w:rPr>
          <w:rFonts w:hint="eastAsia"/>
        </w:rPr>
        <w:t>2018</w:t>
      </w:r>
      <w:r w:rsidRPr="00832161">
        <w:rPr>
          <w:rFonts w:hint="eastAsia"/>
        </w:rPr>
        <w:t>年颁布的《中华人民共和国土壤污染防治法》首次确立土壤污染分区分类管控要求；</w:t>
      </w:r>
      <w:r w:rsidRPr="00832161">
        <w:rPr>
          <w:rFonts w:hint="eastAsia"/>
        </w:rPr>
        <w:t>2019</w:t>
      </w:r>
      <w:r w:rsidRPr="00832161">
        <w:rPr>
          <w:rFonts w:hint="eastAsia"/>
        </w:rPr>
        <w:t>年生态环境部印发的《地下水污染防治实施方案》进一步提出土壤与地下水协同防治理念；</w:t>
      </w:r>
      <w:r w:rsidRPr="00832161">
        <w:rPr>
          <w:rFonts w:hint="eastAsia"/>
        </w:rPr>
        <w:t>2024</w:t>
      </w:r>
      <w:r w:rsidRPr="00832161">
        <w:rPr>
          <w:rFonts w:hint="eastAsia"/>
        </w:rPr>
        <w:t>年发布的《关于加强生态环境分区管控的意见》则为工业园区土壤</w:t>
      </w:r>
      <w:r w:rsidRPr="00832161">
        <w:rPr>
          <w:rFonts w:hint="eastAsia"/>
        </w:rPr>
        <w:t>-</w:t>
      </w:r>
      <w:r w:rsidRPr="00832161">
        <w:rPr>
          <w:rFonts w:hint="eastAsia"/>
        </w:rPr>
        <w:t>地下水污染防控提供了系统性政策指引。大量实证研究表明，工业集聚区土壤</w:t>
      </w:r>
      <w:r w:rsidRPr="00832161">
        <w:rPr>
          <w:rFonts w:hint="eastAsia"/>
        </w:rPr>
        <w:t>-</w:t>
      </w:r>
      <w:r w:rsidRPr="00832161">
        <w:rPr>
          <w:rFonts w:hint="eastAsia"/>
        </w:rPr>
        <w:t>地下水污染普遍呈现重金属</w:t>
      </w:r>
      <w:r w:rsidRPr="00832161">
        <w:rPr>
          <w:rFonts w:hint="eastAsia"/>
        </w:rPr>
        <w:t>-</w:t>
      </w:r>
      <w:r w:rsidRPr="00832161">
        <w:rPr>
          <w:rFonts w:hint="eastAsia"/>
        </w:rPr>
        <w:t>有机物复合特征，污染介质交错且迁移途径复杂，单一治理技术难以满足综合治理需求，凸显了分区分类分级管控的必要性</w:t>
      </w:r>
      <w:r w:rsidR="005429CE" w:rsidRPr="00C42BCE">
        <w:rPr>
          <w:rFonts w:hint="eastAsia"/>
          <w:vertAlign w:val="superscript"/>
        </w:rPr>
        <w:t>[1]</w:t>
      </w:r>
      <w:r w:rsidRPr="00832161">
        <w:rPr>
          <w:rFonts w:hint="eastAsia"/>
        </w:rPr>
        <w:t>。</w:t>
      </w:r>
    </w:p>
    <w:p w14:paraId="6ECAB5A2" w14:textId="54677442" w:rsidR="005052C3" w:rsidRDefault="000063CD" w:rsidP="00BC7354">
      <w:pPr>
        <w:snapToGrid w:val="0"/>
        <w:ind w:firstLine="560"/>
      </w:pPr>
      <w:r w:rsidRPr="000063CD">
        <w:rPr>
          <w:rFonts w:hint="eastAsia"/>
        </w:rPr>
        <w:t>确定土壤</w:t>
      </w:r>
      <w:r>
        <w:rPr>
          <w:rFonts w:hint="eastAsia"/>
        </w:rPr>
        <w:t>与</w:t>
      </w:r>
      <w:r w:rsidRPr="000063CD">
        <w:rPr>
          <w:rFonts w:hint="eastAsia"/>
        </w:rPr>
        <w:t>地下水</w:t>
      </w:r>
      <w:r>
        <w:rPr>
          <w:rFonts w:hint="eastAsia"/>
        </w:rPr>
        <w:t>污染</w:t>
      </w:r>
      <w:r w:rsidRPr="000063CD">
        <w:rPr>
          <w:rFonts w:hint="eastAsia"/>
        </w:rPr>
        <w:t>的环境风险等级是实行工业园区分区分类防治的关键环节</w:t>
      </w:r>
      <w:r>
        <w:rPr>
          <w:rFonts w:hint="eastAsia"/>
        </w:rPr>
        <w:t>。</w:t>
      </w:r>
      <w:r w:rsidR="00374431">
        <w:rPr>
          <w:rFonts w:hint="eastAsia"/>
        </w:rPr>
        <w:t>针对污染物环境风险分级，现有</w:t>
      </w:r>
      <w:r w:rsidR="005052C3">
        <w:rPr>
          <w:rFonts w:hint="eastAsia"/>
        </w:rPr>
        <w:t>研究方法体系主要涵盖传统评价方法与新兴技术两大类别。传统方法以指数评价法与模型评价法为代表，其中指数评价法凭借其操作简便、结果直观的特点被广泛应用，主要包括单因子污染指数法、内梅罗指数法、地累积指数法及潜在生态风险指数法等，可实现污染程度的快速定性或半定量评估；模型评价法则通过构建多元统计决策模型，有效弥补指数法</w:t>
      </w:r>
      <w:r w:rsidR="005052C3">
        <w:rPr>
          <w:rFonts w:hint="eastAsia"/>
        </w:rPr>
        <w:lastRenderedPageBreak/>
        <w:t>在不确定性表达方面的局限，典型方法包括模糊数学法、灰色聚类法、层次分析法及物元分析法，能够更准确描述土壤系统的模糊特性与灰色特征</w:t>
      </w:r>
      <w:r w:rsidR="008408F0" w:rsidRPr="008408F0">
        <w:rPr>
          <w:rFonts w:hint="eastAsia"/>
          <w:vertAlign w:val="superscript"/>
        </w:rPr>
        <w:t>[2]</w:t>
      </w:r>
      <w:r w:rsidR="005052C3">
        <w:rPr>
          <w:rFonts w:hint="eastAsia"/>
        </w:rPr>
        <w:t>。近年来，机器学习技术的引入为风险评价提供了新的方法论支持，随机森林、支持向量机、长短期记忆网络等算法的应用，实现了基于多源地质数据的土壤污染风险快速识别与大规模评估</w:t>
      </w:r>
      <w:r w:rsidR="00BA3606" w:rsidRPr="00BA3606">
        <w:rPr>
          <w:rFonts w:hint="eastAsia"/>
          <w:vertAlign w:val="superscript"/>
        </w:rPr>
        <w:t>[3]</w:t>
      </w:r>
      <w:r w:rsidR="005052C3">
        <w:rPr>
          <w:rFonts w:hint="eastAsia"/>
        </w:rPr>
        <w:t>；地下水污染风险评价则经历了从单一脆弱性评价到多要素综合评估的演进过程，早期主要依赖地下水脆弱性评价，随后发展为结合土地利用状况与污染源负荷的综合评价，现阶段已形成叠加地下水价值的系统评价框架</w:t>
      </w:r>
      <w:r w:rsidR="00107721" w:rsidRPr="00107721">
        <w:rPr>
          <w:rFonts w:hint="eastAsia"/>
          <w:vertAlign w:val="superscript"/>
        </w:rPr>
        <w:t>[4</w:t>
      </w:r>
      <w:r w:rsidR="002B0674">
        <w:rPr>
          <w:rFonts w:hint="eastAsia"/>
          <w:vertAlign w:val="superscript"/>
        </w:rPr>
        <w:t>,5,6,7</w:t>
      </w:r>
      <w:r w:rsidR="00107721" w:rsidRPr="00107721">
        <w:rPr>
          <w:rFonts w:hint="eastAsia"/>
          <w:vertAlign w:val="superscript"/>
        </w:rPr>
        <w:t>]</w:t>
      </w:r>
      <w:r w:rsidR="005052C3">
        <w:rPr>
          <w:rFonts w:hint="eastAsia"/>
        </w:rPr>
        <w:t>。</w:t>
      </w:r>
      <w:r w:rsidR="005052C3">
        <w:rPr>
          <w:rFonts w:hint="eastAsia"/>
        </w:rPr>
        <w:t>DRASTIC</w:t>
      </w:r>
      <w:r w:rsidR="005052C3">
        <w:rPr>
          <w:rFonts w:hint="eastAsia"/>
        </w:rPr>
        <w:t>模型作为应用最广泛的地下水脆弱性评价工具，因其在指标选取与权重确定方面存在主观性局限，学界通常通过参数优化、敏感度分析及硝酸盐浓度验证等手段进行改进完善</w:t>
      </w:r>
      <w:r w:rsidR="00107721" w:rsidRPr="00107721">
        <w:rPr>
          <w:rFonts w:hint="eastAsia"/>
          <w:vertAlign w:val="superscript"/>
        </w:rPr>
        <w:t>[</w:t>
      </w:r>
      <w:r w:rsidR="002B0674">
        <w:rPr>
          <w:rFonts w:hint="eastAsia"/>
          <w:vertAlign w:val="superscript"/>
        </w:rPr>
        <w:t>8</w:t>
      </w:r>
      <w:r w:rsidR="00107721" w:rsidRPr="00107721">
        <w:rPr>
          <w:rFonts w:hint="eastAsia"/>
          <w:vertAlign w:val="superscript"/>
        </w:rPr>
        <w:t>]</w:t>
      </w:r>
      <w:r w:rsidR="005052C3">
        <w:rPr>
          <w:rFonts w:hint="eastAsia"/>
        </w:rPr>
        <w:t>。</w:t>
      </w:r>
    </w:p>
    <w:p w14:paraId="71A700EF" w14:textId="77777777" w:rsidR="005052C3" w:rsidRDefault="005052C3" w:rsidP="00BC7354">
      <w:pPr>
        <w:snapToGrid w:val="0"/>
        <w:ind w:firstLine="560"/>
      </w:pPr>
      <w:r>
        <w:rPr>
          <w:rFonts w:hint="eastAsia"/>
        </w:rPr>
        <w:t>基于上述方法体系，现有研究已建立起</w:t>
      </w:r>
      <w:r>
        <w:rPr>
          <w:rFonts w:hint="eastAsia"/>
        </w:rPr>
        <w:t>"</w:t>
      </w:r>
      <w:r>
        <w:rPr>
          <w:rFonts w:hint="eastAsia"/>
        </w:rPr>
        <w:t>多维依据</w:t>
      </w:r>
      <w:r>
        <w:rPr>
          <w:rFonts w:hint="eastAsia"/>
        </w:rPr>
        <w:t>-</w:t>
      </w:r>
      <w:r>
        <w:rPr>
          <w:rFonts w:hint="eastAsia"/>
        </w:rPr>
        <w:t>空间分析</w:t>
      </w:r>
      <w:r>
        <w:rPr>
          <w:rFonts w:hint="eastAsia"/>
        </w:rPr>
        <w:t>-</w:t>
      </w:r>
      <w:r>
        <w:rPr>
          <w:rFonts w:hint="eastAsia"/>
        </w:rPr>
        <w:t>类型划分</w:t>
      </w:r>
      <w:r>
        <w:rPr>
          <w:rFonts w:hint="eastAsia"/>
        </w:rPr>
        <w:t>"</w:t>
      </w:r>
      <w:r>
        <w:rPr>
          <w:rFonts w:hint="eastAsia"/>
        </w:rPr>
        <w:t>的技术流程框架。分区划分以多源数据为基础，通常综合考虑污染源空间分布、地质水文条件、土地利用类型及受体敏感性等关键因素，通过构建污染物迁移路径模型与实施空间叠加分析，将园区划分为环境特征相对一致的管理单元。典型案例包括尹荣尧等</w:t>
      </w:r>
      <w:r w:rsidR="00F35518" w:rsidRPr="00F35518">
        <w:rPr>
          <w:rFonts w:hint="eastAsia"/>
          <w:vertAlign w:val="superscript"/>
        </w:rPr>
        <w:t>[9]</w:t>
      </w:r>
      <w:r>
        <w:rPr>
          <w:rFonts w:hint="eastAsia"/>
        </w:rPr>
        <w:t>结合功能分区与生态敏感性分区的划分方法，将工业区、仓储区、生活区及生态保护区纳入差异化管理体系</w:t>
      </w:r>
      <w:r w:rsidR="008B7B8F">
        <w:rPr>
          <w:rFonts w:hint="eastAsia"/>
        </w:rPr>
        <w:t>。</w:t>
      </w:r>
      <w:r>
        <w:rPr>
          <w:rFonts w:hint="eastAsia"/>
        </w:rPr>
        <w:t>随着地理信息系统与遥感技术的深入应用，基于空间信息的分区方法得到显著提升，通过集成企业分布、地下水埋深、土壤渗透性及受体分布等多源数据，可生成高分辨率污染分区图谱，为风险等级划分提供精准空间依据</w:t>
      </w:r>
      <w:r w:rsidR="007064E4" w:rsidRPr="002522B7">
        <w:rPr>
          <w:rFonts w:hint="eastAsia"/>
          <w:vertAlign w:val="superscript"/>
        </w:rPr>
        <w:t>[10]</w:t>
      </w:r>
      <w:r>
        <w:rPr>
          <w:rFonts w:hint="eastAsia"/>
        </w:rPr>
        <w:t>。分类研究则建立了多维度的划分标准体系：按污染介质可分为土壤风险源、地下水风险源与大气风险源；按风险源特征可划分为固定污染源、移动污染源、突发性风险源与累积性风险源；按污染物理化性质则可细分为重金属污染、挥发性有机污染与持久性有机污染物等类别，形成系统化的分</w:t>
      </w:r>
      <w:r>
        <w:rPr>
          <w:rFonts w:hint="eastAsia"/>
        </w:rPr>
        <w:lastRenderedPageBreak/>
        <w:t>类框架</w:t>
      </w:r>
      <w:r w:rsidR="00632391" w:rsidRPr="00632391">
        <w:rPr>
          <w:rFonts w:hint="eastAsia"/>
          <w:vertAlign w:val="superscript"/>
        </w:rPr>
        <w:t>[11]</w:t>
      </w:r>
      <w:r>
        <w:rPr>
          <w:rFonts w:hint="eastAsia"/>
        </w:rPr>
        <w:t>。</w:t>
      </w:r>
    </w:p>
    <w:p w14:paraId="2EDBBF0C" w14:textId="01022795" w:rsidR="005052C3" w:rsidRDefault="005052C3" w:rsidP="00BC7354">
      <w:pPr>
        <w:snapToGrid w:val="0"/>
        <w:ind w:firstLine="560"/>
      </w:pPr>
      <w:r>
        <w:rPr>
          <w:rFonts w:hint="eastAsia"/>
        </w:rPr>
        <w:t>在实践应用层面，多层次指标体系构建成为环境风险分级的主要</w:t>
      </w:r>
      <w:r w:rsidR="001D1A24">
        <w:rPr>
          <w:rFonts w:hint="eastAsia"/>
        </w:rPr>
        <w:t>手段</w:t>
      </w:r>
      <w:r>
        <w:rPr>
          <w:rFonts w:hint="eastAsia"/>
        </w:rPr>
        <w:t>。尹荣尧等</w:t>
      </w:r>
      <w:r w:rsidR="004E1FE3" w:rsidRPr="004E1FE3">
        <w:rPr>
          <w:rFonts w:hint="eastAsia"/>
          <w:vertAlign w:val="superscript"/>
        </w:rPr>
        <w:t>[</w:t>
      </w:r>
      <w:r w:rsidR="00DE25E5">
        <w:rPr>
          <w:rFonts w:hint="eastAsia"/>
          <w:vertAlign w:val="superscript"/>
        </w:rPr>
        <w:t>9</w:t>
      </w:r>
      <w:r w:rsidR="004E1FE3" w:rsidRPr="004E1FE3">
        <w:rPr>
          <w:rFonts w:hint="eastAsia"/>
          <w:vertAlign w:val="superscript"/>
        </w:rPr>
        <w:t>]</w:t>
      </w:r>
      <w:r>
        <w:rPr>
          <w:rFonts w:hint="eastAsia"/>
        </w:rPr>
        <w:t>在江苏沿海化工区研究中建立的</w:t>
      </w:r>
      <w:r>
        <w:rPr>
          <w:rFonts w:hint="eastAsia"/>
        </w:rPr>
        <w:t>"</w:t>
      </w:r>
      <w:r>
        <w:rPr>
          <w:rFonts w:hint="eastAsia"/>
        </w:rPr>
        <w:t>风险源</w:t>
      </w:r>
      <w:r>
        <w:rPr>
          <w:rFonts w:hint="eastAsia"/>
        </w:rPr>
        <w:t>-</w:t>
      </w:r>
      <w:r>
        <w:rPr>
          <w:rFonts w:hint="eastAsia"/>
        </w:rPr>
        <w:t>控制机制</w:t>
      </w:r>
      <w:r>
        <w:rPr>
          <w:rFonts w:hint="eastAsia"/>
        </w:rPr>
        <w:t>-</w:t>
      </w:r>
      <w:r>
        <w:rPr>
          <w:rFonts w:hint="eastAsia"/>
        </w:rPr>
        <w:t>风险受体</w:t>
      </w:r>
      <w:r>
        <w:rPr>
          <w:rFonts w:hint="eastAsia"/>
        </w:rPr>
        <w:t>"</w:t>
      </w:r>
      <w:r>
        <w:rPr>
          <w:rFonts w:hint="eastAsia"/>
        </w:rPr>
        <w:t>三维评价模型，涵盖</w:t>
      </w:r>
      <w:r>
        <w:rPr>
          <w:rFonts w:hint="eastAsia"/>
        </w:rPr>
        <w:t>3</w:t>
      </w:r>
      <w:r>
        <w:rPr>
          <w:rFonts w:hint="eastAsia"/>
        </w:rPr>
        <w:t>个一级指标与</w:t>
      </w:r>
      <w:r>
        <w:rPr>
          <w:rFonts w:hint="eastAsia"/>
        </w:rPr>
        <w:t>9</w:t>
      </w:r>
      <w:r>
        <w:rPr>
          <w:rFonts w:hint="eastAsia"/>
        </w:rPr>
        <w:t>个二级指标，其中风险源维度纳入工业发展规模、产业定位与园区面积等要素，控制机制维度考察环保设施完善度、环境管理水平与资金保障性，受体维度关注与水源地距离、受影响自然保护区面积及人口规模等参数，通过层次分析法与专家打分法的结合实现园区风险五级划分</w:t>
      </w:r>
      <w:r w:rsidR="00CB1217">
        <w:rPr>
          <w:rFonts w:hint="eastAsia"/>
        </w:rPr>
        <w:t>。</w:t>
      </w:r>
      <w:r>
        <w:rPr>
          <w:rFonts w:hint="eastAsia"/>
        </w:rPr>
        <w:t>周新荣等</w:t>
      </w:r>
      <w:r w:rsidR="00655912" w:rsidRPr="00655912">
        <w:rPr>
          <w:rFonts w:hint="eastAsia"/>
          <w:vertAlign w:val="superscript"/>
        </w:rPr>
        <w:t>[1</w:t>
      </w:r>
      <w:r w:rsidR="007573CD">
        <w:rPr>
          <w:rFonts w:hint="eastAsia"/>
          <w:vertAlign w:val="superscript"/>
        </w:rPr>
        <w:t>1</w:t>
      </w:r>
      <w:r w:rsidR="00655912" w:rsidRPr="00655912">
        <w:rPr>
          <w:rFonts w:hint="eastAsia"/>
          <w:vertAlign w:val="superscript"/>
        </w:rPr>
        <w:t>]</w:t>
      </w:r>
      <w:r>
        <w:rPr>
          <w:rFonts w:hint="eastAsia"/>
        </w:rPr>
        <w:t>提出</w:t>
      </w:r>
      <w:r>
        <w:rPr>
          <w:rFonts w:hint="eastAsia"/>
        </w:rPr>
        <w:t>"</w:t>
      </w:r>
      <w:r>
        <w:rPr>
          <w:rFonts w:hint="eastAsia"/>
        </w:rPr>
        <w:t>危险物质水平</w:t>
      </w:r>
      <w:r>
        <w:rPr>
          <w:rFonts w:hint="eastAsia"/>
        </w:rPr>
        <w:t>-</w:t>
      </w:r>
      <w:r>
        <w:rPr>
          <w:rFonts w:hint="eastAsia"/>
        </w:rPr>
        <w:t>企业环境风险水平</w:t>
      </w:r>
      <w:r>
        <w:rPr>
          <w:rFonts w:hint="eastAsia"/>
        </w:rPr>
        <w:t>-</w:t>
      </w:r>
      <w:r>
        <w:rPr>
          <w:rFonts w:hint="eastAsia"/>
        </w:rPr>
        <w:t>周边环境受体状况</w:t>
      </w:r>
      <w:r>
        <w:rPr>
          <w:rFonts w:hint="eastAsia"/>
        </w:rPr>
        <w:t>"</w:t>
      </w:r>
      <w:r>
        <w:rPr>
          <w:rFonts w:hint="eastAsia"/>
        </w:rPr>
        <w:t>三维识别矩阵，形成了</w:t>
      </w:r>
      <w:r>
        <w:rPr>
          <w:rFonts w:hint="eastAsia"/>
        </w:rPr>
        <w:t>"</w:t>
      </w:r>
      <w:r>
        <w:rPr>
          <w:rFonts w:hint="eastAsia"/>
        </w:rPr>
        <w:t>风险源初筛</w:t>
      </w:r>
      <w:r>
        <w:rPr>
          <w:rFonts w:hint="eastAsia"/>
        </w:rPr>
        <w:t>-</w:t>
      </w:r>
      <w:r>
        <w:rPr>
          <w:rFonts w:hint="eastAsia"/>
        </w:rPr>
        <w:t>风险源分级</w:t>
      </w:r>
      <w:r>
        <w:rPr>
          <w:rFonts w:hint="eastAsia"/>
        </w:rPr>
        <w:t>"</w:t>
      </w:r>
      <w:r>
        <w:rPr>
          <w:rFonts w:hint="eastAsia"/>
        </w:rPr>
        <w:t>的两步法操作流程</w:t>
      </w:r>
      <w:r w:rsidR="00CB1217">
        <w:rPr>
          <w:rFonts w:hint="eastAsia"/>
        </w:rPr>
        <w:t>。</w:t>
      </w:r>
      <w:r>
        <w:rPr>
          <w:rFonts w:hint="eastAsia"/>
        </w:rPr>
        <w:t>杨鑫依据相关技术规范，从风险源强度、受体脆弱性及风险防控能力三个维度对开发区进行评估，采用矩阵法确定风险等级</w:t>
      </w:r>
      <w:r w:rsidR="00CB1217">
        <w:rPr>
          <w:rFonts w:hint="eastAsia"/>
        </w:rPr>
        <w:t>。</w:t>
      </w:r>
      <w:r>
        <w:rPr>
          <w:rFonts w:hint="eastAsia"/>
        </w:rPr>
        <w:t>占升团队</w:t>
      </w:r>
      <w:r w:rsidR="007573CD" w:rsidRPr="007573CD">
        <w:rPr>
          <w:rFonts w:hint="eastAsia"/>
          <w:vertAlign w:val="superscript"/>
        </w:rPr>
        <w:t>[12]</w:t>
      </w:r>
      <w:r>
        <w:rPr>
          <w:rFonts w:hint="eastAsia"/>
        </w:rPr>
        <w:t>则通过包含内梅罗指数、</w:t>
      </w:r>
      <w:r>
        <w:rPr>
          <w:rFonts w:hint="eastAsia"/>
        </w:rPr>
        <w:t>NAPL</w:t>
      </w:r>
      <w:r>
        <w:rPr>
          <w:rFonts w:hint="eastAsia"/>
        </w:rPr>
        <w:t>赋存状况等</w:t>
      </w:r>
      <w:r>
        <w:rPr>
          <w:rFonts w:hint="eastAsia"/>
        </w:rPr>
        <w:t>6</w:t>
      </w:r>
      <w:r>
        <w:rPr>
          <w:rFonts w:hint="eastAsia"/>
        </w:rPr>
        <w:t>项指标的评价体系，运用加权评分法将园区划分为优先管控区、重点管控区与一般管控区。</w:t>
      </w:r>
    </w:p>
    <w:p w14:paraId="3F3CEA54" w14:textId="51A107E5" w:rsidR="005052C3" w:rsidRDefault="003958AE" w:rsidP="00BC7354">
      <w:pPr>
        <w:snapToGrid w:val="0"/>
        <w:ind w:firstLine="560"/>
      </w:pPr>
      <w:r>
        <w:rPr>
          <w:rFonts w:hint="eastAsia"/>
        </w:rPr>
        <w:t>近年来</w:t>
      </w:r>
      <w:r w:rsidR="005052C3">
        <w:rPr>
          <w:rFonts w:hint="eastAsia"/>
        </w:rPr>
        <w:t>，</w:t>
      </w:r>
      <w:r w:rsidR="00752224">
        <w:rPr>
          <w:rFonts w:hint="eastAsia"/>
        </w:rPr>
        <w:t>随着</w:t>
      </w:r>
      <w:r>
        <w:rPr>
          <w:rFonts w:hint="eastAsia"/>
        </w:rPr>
        <w:t>地理信息大数据分析技术不断发展，</w:t>
      </w:r>
      <w:r w:rsidR="005052C3">
        <w:rPr>
          <w:rFonts w:hint="eastAsia"/>
        </w:rPr>
        <w:t>GIS</w:t>
      </w:r>
      <w:r w:rsidR="005052C3">
        <w:rPr>
          <w:rFonts w:hint="eastAsia"/>
        </w:rPr>
        <w:t>与空间分析工具的应用显著提升了分区精度与管理效能。</w:t>
      </w:r>
      <w:r w:rsidR="005052C3">
        <w:rPr>
          <w:rFonts w:hint="eastAsia"/>
        </w:rPr>
        <w:t>Salmanighabesh</w:t>
      </w:r>
      <w:r w:rsidR="006918D5">
        <w:rPr>
          <w:rFonts w:hint="eastAsia"/>
        </w:rPr>
        <w:t>i</w:t>
      </w:r>
      <w:r w:rsidR="005052C3">
        <w:rPr>
          <w:rFonts w:hint="eastAsia"/>
        </w:rPr>
        <w:t>等</w:t>
      </w:r>
      <w:r w:rsidR="003D6084" w:rsidRPr="003D6084">
        <w:rPr>
          <w:rFonts w:hint="eastAsia"/>
          <w:vertAlign w:val="superscript"/>
        </w:rPr>
        <w:t>[13]</w:t>
      </w:r>
      <w:r w:rsidR="005052C3">
        <w:rPr>
          <w:rFonts w:hint="eastAsia"/>
        </w:rPr>
        <w:t>综合运用地累积指数、富集因子与综合污染指数，建立了智利工业区土壤生态风险评估体系</w:t>
      </w:r>
      <w:r w:rsidR="00906B73">
        <w:rPr>
          <w:rFonts w:hint="eastAsia"/>
        </w:rPr>
        <w:t>。</w:t>
      </w:r>
      <w:r w:rsidR="005052C3">
        <w:rPr>
          <w:rFonts w:hint="eastAsia"/>
        </w:rPr>
        <w:t>张温彬</w:t>
      </w:r>
      <w:r w:rsidR="004F68EC">
        <w:rPr>
          <w:rFonts w:hint="eastAsia"/>
        </w:rPr>
        <w:t>等</w:t>
      </w:r>
      <w:r w:rsidR="004F68EC" w:rsidRPr="004F68EC">
        <w:rPr>
          <w:rFonts w:hint="eastAsia"/>
          <w:vertAlign w:val="superscript"/>
        </w:rPr>
        <w:t>[14]</w:t>
      </w:r>
      <w:r w:rsidR="005052C3">
        <w:rPr>
          <w:rFonts w:hint="eastAsia"/>
        </w:rPr>
        <w:t>通过单因子与内梅罗指数法的结合，实现了土壤重金属污染程度的分级与管控区划分</w:t>
      </w:r>
      <w:r w:rsidR="00906B73">
        <w:rPr>
          <w:rFonts w:hint="eastAsia"/>
        </w:rPr>
        <w:t>。</w:t>
      </w:r>
      <w:r w:rsidR="005052C3">
        <w:rPr>
          <w:rFonts w:hint="eastAsia"/>
        </w:rPr>
        <w:t>Guan</w:t>
      </w:r>
      <w:r w:rsidR="005052C3">
        <w:rPr>
          <w:rFonts w:hint="eastAsia"/>
        </w:rPr>
        <w:t>等</w:t>
      </w:r>
      <w:r w:rsidR="00170FE6" w:rsidRPr="00170FE6">
        <w:rPr>
          <w:rFonts w:hint="eastAsia"/>
          <w:vertAlign w:val="superscript"/>
        </w:rPr>
        <w:t>[15]</w:t>
      </w:r>
      <w:r w:rsidR="005052C3">
        <w:rPr>
          <w:rFonts w:hint="eastAsia"/>
        </w:rPr>
        <w:t>基于反距离权重法的空间插值技术，完成了工矿区土壤环境风险的分区分级</w:t>
      </w:r>
      <w:r w:rsidR="00906B73">
        <w:rPr>
          <w:rFonts w:hint="eastAsia"/>
        </w:rPr>
        <w:t>。</w:t>
      </w:r>
      <w:r w:rsidR="005052C3">
        <w:rPr>
          <w:rFonts w:hint="eastAsia"/>
        </w:rPr>
        <w:t>黄燕鹏等</w:t>
      </w:r>
      <w:r w:rsidR="00A85897" w:rsidRPr="00A85897">
        <w:rPr>
          <w:rFonts w:hint="eastAsia"/>
          <w:vertAlign w:val="superscript"/>
        </w:rPr>
        <w:t>[16]</w:t>
      </w:r>
      <w:r w:rsidR="005052C3">
        <w:rPr>
          <w:rFonts w:hint="eastAsia"/>
        </w:rPr>
        <w:t>引入自组织神经网络与</w:t>
      </w:r>
      <w:r w:rsidR="005052C3">
        <w:rPr>
          <w:rFonts w:hint="eastAsia"/>
        </w:rPr>
        <w:t>K-means</w:t>
      </w:r>
      <w:r w:rsidR="005052C3">
        <w:rPr>
          <w:rFonts w:hint="eastAsia"/>
        </w:rPr>
        <w:t>聚类算法，通过对监测数据的深度挖掘与空间插值，将污染场地科学划分为</w:t>
      </w:r>
      <w:r w:rsidR="005052C3">
        <w:rPr>
          <w:rFonts w:hint="eastAsia"/>
        </w:rPr>
        <w:t>4</w:t>
      </w:r>
      <w:r w:rsidR="005052C3">
        <w:rPr>
          <w:rFonts w:hint="eastAsia"/>
        </w:rPr>
        <w:t>类管控区域</w:t>
      </w:r>
      <w:r w:rsidR="00906B73">
        <w:rPr>
          <w:rFonts w:hint="eastAsia"/>
        </w:rPr>
        <w:t>。</w:t>
      </w:r>
      <w:r w:rsidR="005052C3">
        <w:rPr>
          <w:rFonts w:hint="eastAsia"/>
        </w:rPr>
        <w:t>Liu</w:t>
      </w:r>
      <w:r w:rsidR="005052C3">
        <w:rPr>
          <w:rFonts w:hint="eastAsia"/>
        </w:rPr>
        <w:t>等</w:t>
      </w:r>
      <w:r w:rsidR="00A85897" w:rsidRPr="00A85897">
        <w:rPr>
          <w:rFonts w:hint="eastAsia"/>
          <w:vertAlign w:val="superscript"/>
        </w:rPr>
        <w:t>[17]</w:t>
      </w:r>
      <w:r w:rsidR="005052C3">
        <w:rPr>
          <w:rFonts w:hint="eastAsia"/>
        </w:rPr>
        <w:t>利用地理探测器量化分析土壤重金属分布影响因素，通过图层叠加技术识别高风险区域，有效优化了采样资源配置。</w:t>
      </w:r>
    </w:p>
    <w:p w14:paraId="1EF6707C" w14:textId="77777777" w:rsidR="00922499" w:rsidRDefault="005052C3" w:rsidP="00BC7354">
      <w:pPr>
        <w:snapToGrid w:val="0"/>
        <w:ind w:firstLine="560"/>
      </w:pPr>
      <w:r>
        <w:rPr>
          <w:rFonts w:hint="eastAsia"/>
        </w:rPr>
        <w:t>尽管研究取得显著进展，该领域仍面临</w:t>
      </w:r>
      <w:r w:rsidR="00486ADE">
        <w:rPr>
          <w:rFonts w:hint="eastAsia"/>
        </w:rPr>
        <w:t>一些</w:t>
      </w:r>
      <w:r>
        <w:rPr>
          <w:rFonts w:hint="eastAsia"/>
        </w:rPr>
        <w:t>挑战</w:t>
      </w:r>
      <w:r w:rsidR="00486ADE">
        <w:rPr>
          <w:rFonts w:hint="eastAsia"/>
        </w:rPr>
        <w:t>。</w:t>
      </w:r>
      <w:r w:rsidR="00D26F32" w:rsidRPr="00D26F32">
        <w:rPr>
          <w:rFonts w:hint="eastAsia"/>
        </w:rPr>
        <w:t>土壤与地下水</w:t>
      </w:r>
      <w:r w:rsidR="00D26F32" w:rsidRPr="00D26F32">
        <w:rPr>
          <w:rFonts w:hint="eastAsia"/>
        </w:rPr>
        <w:lastRenderedPageBreak/>
        <w:t>的联动评价不足，难以完整反映污染物在多介质环境中的迁移规律；不同研究在指标选择、权重确定和分级方法上存在较大差异，影响了结果的可比性和适用性；</w:t>
      </w:r>
      <w:r w:rsidR="00D26F32">
        <w:rPr>
          <w:rFonts w:hint="eastAsia"/>
        </w:rPr>
        <w:t>此外，现有方法</w:t>
      </w:r>
      <w:r w:rsidR="00D26F32" w:rsidRPr="00D26F32">
        <w:rPr>
          <w:rFonts w:hint="eastAsia"/>
        </w:rPr>
        <w:t>对分级后的长期监管、动态调整和效果评估关注不够，缺乏完善的闭环管理机制。这些问题凸显了制定统一技术指南的紧迫性和必要性。</w:t>
      </w:r>
    </w:p>
    <w:p w14:paraId="6F4601F6" w14:textId="65B1D412" w:rsidR="003A365F" w:rsidRDefault="00922499" w:rsidP="00BC7354">
      <w:pPr>
        <w:snapToGrid w:val="0"/>
        <w:ind w:firstLine="560"/>
      </w:pPr>
      <w:r w:rsidRPr="00922499">
        <w:rPr>
          <w:rFonts w:hint="eastAsia"/>
        </w:rPr>
        <w:t>本标准基于</w:t>
      </w:r>
      <w:r w:rsidRPr="00922499">
        <w:rPr>
          <w:rFonts w:hint="eastAsia"/>
        </w:rPr>
        <w:t>"</w:t>
      </w:r>
      <w:r w:rsidRPr="00922499">
        <w:rPr>
          <w:rFonts w:hint="eastAsia"/>
        </w:rPr>
        <w:t>源</w:t>
      </w:r>
      <w:r w:rsidRPr="00922499">
        <w:rPr>
          <w:rFonts w:hint="eastAsia"/>
        </w:rPr>
        <w:t>-</w:t>
      </w:r>
      <w:r w:rsidRPr="00922499">
        <w:rPr>
          <w:rFonts w:hint="eastAsia"/>
        </w:rPr>
        <w:t>迁移</w:t>
      </w:r>
      <w:r w:rsidRPr="00922499">
        <w:rPr>
          <w:rFonts w:hint="eastAsia"/>
        </w:rPr>
        <w:t>-</w:t>
      </w:r>
      <w:r w:rsidRPr="00922499">
        <w:rPr>
          <w:rFonts w:hint="eastAsia"/>
        </w:rPr>
        <w:t>受体</w:t>
      </w:r>
      <w:r w:rsidRPr="00922499">
        <w:rPr>
          <w:rFonts w:hint="eastAsia"/>
        </w:rPr>
        <w:t>"</w:t>
      </w:r>
      <w:r w:rsidRPr="00922499">
        <w:rPr>
          <w:rFonts w:hint="eastAsia"/>
        </w:rPr>
        <w:t>理论框架，构建包含污染源荷载、迁移能力和环境脆弱性三个维度的多层次指标体系，并通过</w:t>
      </w:r>
      <w:r w:rsidR="0023759D">
        <w:rPr>
          <w:rFonts w:hint="eastAsia"/>
        </w:rPr>
        <w:t>在</w:t>
      </w:r>
      <w:r w:rsidRPr="00922499">
        <w:rPr>
          <w:rFonts w:hint="eastAsia"/>
        </w:rPr>
        <w:t>典型工业园区</w:t>
      </w:r>
      <w:r w:rsidR="0023759D">
        <w:rPr>
          <w:rFonts w:hint="eastAsia"/>
        </w:rPr>
        <w:t>开展</w:t>
      </w:r>
      <w:r w:rsidRPr="00922499">
        <w:rPr>
          <w:rFonts w:hint="eastAsia"/>
        </w:rPr>
        <w:t>实地调研、</w:t>
      </w:r>
      <w:r w:rsidR="0023759D">
        <w:rPr>
          <w:rFonts w:hint="eastAsia"/>
        </w:rPr>
        <w:t>试验验证</w:t>
      </w:r>
      <w:r w:rsidRPr="00922499">
        <w:rPr>
          <w:rFonts w:hint="eastAsia"/>
        </w:rPr>
        <w:t>分析和智能评估系统模拟，对指标权重、分级阈值及空间聚类方法进行了多次校验与优化。验证结果表明，该体系可有效识别高风险区域，精准划分</w:t>
      </w:r>
      <w:r w:rsidR="00AE4A05">
        <w:rPr>
          <w:rFonts w:hint="eastAsia"/>
        </w:rPr>
        <w:t>风险预防区</w:t>
      </w:r>
      <w:r w:rsidRPr="00922499">
        <w:rPr>
          <w:rFonts w:hint="eastAsia"/>
        </w:rPr>
        <w:t>、</w:t>
      </w:r>
      <w:r w:rsidR="00AE4A05">
        <w:rPr>
          <w:rFonts w:hint="eastAsia"/>
        </w:rPr>
        <w:t>一般管控区</w:t>
      </w:r>
      <w:r w:rsidRPr="00922499">
        <w:rPr>
          <w:rFonts w:hint="eastAsia"/>
        </w:rPr>
        <w:t>和</w:t>
      </w:r>
      <w:r w:rsidR="00AE4A05">
        <w:rPr>
          <w:rFonts w:hint="eastAsia"/>
        </w:rPr>
        <w:t>重点管控区</w:t>
      </w:r>
      <w:r w:rsidRPr="00922499">
        <w:rPr>
          <w:rFonts w:hint="eastAsia"/>
        </w:rPr>
        <w:t>，并与实际污染分布状况具有较高一致性。空间叠置分析及</w:t>
      </w:r>
      <w:r w:rsidRPr="00922499">
        <w:rPr>
          <w:rFonts w:hint="eastAsia"/>
        </w:rPr>
        <w:t>GIS</w:t>
      </w:r>
      <w:r w:rsidRPr="00922499">
        <w:rPr>
          <w:rFonts w:hint="eastAsia"/>
        </w:rPr>
        <w:t>平台的应用进一步提高了分区结果的合理性和管理适用性，</w:t>
      </w:r>
      <w:r>
        <w:rPr>
          <w:rFonts w:hint="eastAsia"/>
        </w:rPr>
        <w:t>为推进工业集聚区土壤</w:t>
      </w:r>
      <w:r>
        <w:rPr>
          <w:rFonts w:hint="eastAsia"/>
        </w:rPr>
        <w:t>-</w:t>
      </w:r>
      <w:r>
        <w:rPr>
          <w:rFonts w:hint="eastAsia"/>
        </w:rPr>
        <w:t>地下水污染管控的科学化、规范化与精细化发展提供了技术支撑。</w:t>
      </w:r>
    </w:p>
    <w:p w14:paraId="6ED18DD7" w14:textId="783B6DDC" w:rsidR="00BC7354" w:rsidRPr="00BC7354" w:rsidRDefault="00BC7354" w:rsidP="00BC7354">
      <w:pPr>
        <w:snapToGrid w:val="0"/>
        <w:spacing w:line="240" w:lineRule="auto"/>
        <w:ind w:firstLine="480"/>
        <w:rPr>
          <w:sz w:val="24"/>
          <w:szCs w:val="21"/>
        </w:rPr>
      </w:pPr>
    </w:p>
    <w:p w14:paraId="6374AFE0" w14:textId="77777777" w:rsidR="00BC7354" w:rsidRDefault="00BC7354" w:rsidP="00BC7354">
      <w:pPr>
        <w:pStyle w:val="2"/>
      </w:pPr>
      <w:r>
        <w:t>2</w:t>
      </w:r>
      <w:r>
        <w:rPr>
          <w:rFonts w:hint="eastAsia"/>
        </w:rPr>
        <w:t>.</w:t>
      </w:r>
      <w:r>
        <w:rPr>
          <w:rFonts w:hint="eastAsia"/>
        </w:rPr>
        <w:t>试验验证的分析</w:t>
      </w:r>
    </w:p>
    <w:p w14:paraId="0E8C0A95" w14:textId="77777777" w:rsidR="00BC7354" w:rsidRPr="00CA190C" w:rsidRDefault="00BC7354" w:rsidP="00BC7354">
      <w:pPr>
        <w:snapToGrid w:val="0"/>
        <w:ind w:firstLine="560"/>
      </w:pPr>
      <w:r w:rsidRPr="00CA190C">
        <w:t>本</w:t>
      </w:r>
      <w:bookmarkStart w:id="5" w:name="_Hlk151237330"/>
      <w:r w:rsidRPr="00CA190C">
        <w:t>次</w:t>
      </w:r>
      <w:r w:rsidRPr="00CA190C">
        <w:rPr>
          <w:rFonts w:hint="eastAsia"/>
        </w:rPr>
        <w:t>验证分析</w:t>
      </w:r>
      <w:r w:rsidRPr="00CA190C">
        <w:t>以</w:t>
      </w:r>
      <w:r w:rsidRPr="00CA190C">
        <w:rPr>
          <w:rFonts w:hint="eastAsia"/>
        </w:rPr>
        <w:t>我国东部某</w:t>
      </w:r>
      <w:r w:rsidRPr="00CA190C">
        <w:t>精细化工集聚区为</w:t>
      </w:r>
      <w:r w:rsidRPr="00CA190C">
        <w:rPr>
          <w:rFonts w:hint="eastAsia"/>
        </w:rPr>
        <w:t>对象</w:t>
      </w:r>
      <w:r w:rsidRPr="00CA190C">
        <w:t>，具体范围扩大至集聚区周边</w:t>
      </w:r>
      <w:r w:rsidRPr="00CA190C">
        <w:t>500m</w:t>
      </w:r>
      <w:r w:rsidRPr="00CA190C">
        <w:t>范围，总面积约</w:t>
      </w:r>
      <w:r w:rsidRPr="00CA190C">
        <w:t>36.3km</w:t>
      </w:r>
      <w:r w:rsidRPr="002D21F4">
        <w:rPr>
          <w:vertAlign w:val="superscript"/>
        </w:rPr>
        <w:t>2</w:t>
      </w:r>
      <w:r w:rsidRPr="00CA190C">
        <w:t>。研究范围如图</w:t>
      </w:r>
      <w:r w:rsidRPr="00CA190C">
        <w:rPr>
          <w:rFonts w:hint="eastAsia"/>
        </w:rPr>
        <w:t>3-</w:t>
      </w:r>
      <w:r w:rsidRPr="00CA190C">
        <w:t>1</w:t>
      </w:r>
      <w:r w:rsidRPr="00CA190C">
        <w:t>所示。</w:t>
      </w:r>
    </w:p>
    <w:bookmarkEnd w:id="5"/>
    <w:p w14:paraId="2D7EA051" w14:textId="77777777" w:rsidR="00BC7354" w:rsidRPr="00DF666D" w:rsidRDefault="00BC7354" w:rsidP="00BC7354">
      <w:pPr>
        <w:ind w:firstLineChars="0" w:firstLine="0"/>
        <w:jc w:val="center"/>
        <w:rPr>
          <w:rFonts w:eastAsia="宋体" w:cs="Times New Roman"/>
        </w:rPr>
      </w:pPr>
      <w:r w:rsidRPr="00DF666D">
        <w:rPr>
          <w:rFonts w:eastAsia="宋体" w:cs="Times New Roman"/>
          <w:noProof/>
        </w:rPr>
        <w:lastRenderedPageBreak/>
        <w:drawing>
          <wp:inline distT="0" distB="0" distL="0" distR="0" wp14:anchorId="36965C7F" wp14:editId="41673FF7">
            <wp:extent cx="3815272" cy="2376000"/>
            <wp:effectExtent l="0" t="0" r="0" b="5715"/>
            <wp:docPr id="13312450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45017"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815272" cy="2376000"/>
                    </a:xfrm>
                    <a:prstGeom prst="rect">
                      <a:avLst/>
                    </a:prstGeom>
                    <a:noFill/>
                    <a:ln>
                      <a:noFill/>
                    </a:ln>
                  </pic:spPr>
                </pic:pic>
              </a:graphicData>
            </a:graphic>
          </wp:inline>
        </w:drawing>
      </w:r>
    </w:p>
    <w:p w14:paraId="6DD90104" w14:textId="77777777" w:rsidR="00BC7354" w:rsidRPr="00CA190C" w:rsidRDefault="00BC7354" w:rsidP="00BC7354">
      <w:pPr>
        <w:ind w:firstLine="482"/>
        <w:jc w:val="center"/>
        <w:rPr>
          <w:rFonts w:cs="Times New Roman"/>
          <w:b/>
          <w:bCs/>
          <w:sz w:val="24"/>
          <w:szCs w:val="28"/>
        </w:rPr>
      </w:pPr>
      <w:r w:rsidRPr="00CA190C">
        <w:rPr>
          <w:rFonts w:cs="Times New Roman"/>
          <w:b/>
          <w:bCs/>
          <w:sz w:val="24"/>
          <w:szCs w:val="28"/>
        </w:rPr>
        <w:t>图</w:t>
      </w:r>
      <w:r w:rsidRPr="00CA190C">
        <w:rPr>
          <w:rFonts w:cs="Times New Roman"/>
          <w:b/>
          <w:bCs/>
          <w:sz w:val="24"/>
          <w:szCs w:val="28"/>
        </w:rPr>
        <w:t xml:space="preserve">3-1  </w:t>
      </w:r>
      <w:r w:rsidRPr="00CA190C">
        <w:rPr>
          <w:rFonts w:cs="Times New Roman"/>
          <w:b/>
          <w:bCs/>
          <w:sz w:val="24"/>
          <w:szCs w:val="28"/>
        </w:rPr>
        <w:t>集聚区及周边</w:t>
      </w:r>
      <w:r w:rsidRPr="00CA190C">
        <w:rPr>
          <w:rFonts w:cs="Times New Roman"/>
          <w:b/>
          <w:bCs/>
          <w:sz w:val="24"/>
          <w:szCs w:val="28"/>
        </w:rPr>
        <w:t>500m</w:t>
      </w:r>
      <w:r w:rsidRPr="00CA190C">
        <w:rPr>
          <w:rFonts w:cs="Times New Roman"/>
          <w:b/>
          <w:bCs/>
          <w:sz w:val="24"/>
          <w:szCs w:val="28"/>
        </w:rPr>
        <w:t>范围拐点图</w:t>
      </w:r>
    </w:p>
    <w:p w14:paraId="3908DC22" w14:textId="77777777" w:rsidR="00BC7354" w:rsidRPr="00CA190C" w:rsidRDefault="00BC7354" w:rsidP="00BC7354">
      <w:pPr>
        <w:snapToGrid w:val="0"/>
        <w:ind w:firstLine="560"/>
      </w:pPr>
      <w:r w:rsidRPr="00CA190C">
        <w:t>对集聚区内的主要道路和河流进行数字化，并以企业的厂区边界为范围，划分评价单元，一个企业为一个单独的评价单元。根据收集到的企业名单，园区内共</w:t>
      </w:r>
      <w:r w:rsidRPr="00CA190C">
        <w:t>180</w:t>
      </w:r>
      <w:r w:rsidRPr="00CA190C">
        <w:t>家主要企业，其中</w:t>
      </w:r>
      <w:r w:rsidRPr="00CA190C">
        <w:t>119</w:t>
      </w:r>
      <w:r w:rsidRPr="00CA190C">
        <w:t>家企业进行了重点行业企业用地调查。</w:t>
      </w:r>
    </w:p>
    <w:p w14:paraId="23F1CA90" w14:textId="77777777" w:rsidR="00BC7354" w:rsidRPr="00DF666D" w:rsidRDefault="00BC7354" w:rsidP="00BC7354">
      <w:pPr>
        <w:ind w:firstLineChars="0" w:firstLine="0"/>
        <w:jc w:val="center"/>
        <w:rPr>
          <w:rFonts w:eastAsia="宋体" w:cs="Times New Roman"/>
        </w:rPr>
      </w:pPr>
      <w:r w:rsidRPr="00DF666D">
        <w:rPr>
          <w:rFonts w:eastAsia="宋体" w:cs="Times New Roman"/>
          <w:noProof/>
        </w:rPr>
        <w:drawing>
          <wp:inline distT="0" distB="0" distL="0" distR="0" wp14:anchorId="310DB9AD" wp14:editId="7698FE9B">
            <wp:extent cx="3628458" cy="2376000"/>
            <wp:effectExtent l="0" t="0" r="0" b="5715"/>
            <wp:docPr id="1496947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47912" name=""/>
                    <pic:cNvPicPr/>
                  </pic:nvPicPr>
                  <pic:blipFill rotWithShape="1">
                    <a:blip r:embed="rId15"/>
                    <a:srcRect t="3479"/>
                    <a:stretch/>
                  </pic:blipFill>
                  <pic:spPr bwMode="auto">
                    <a:xfrm>
                      <a:off x="0" y="0"/>
                      <a:ext cx="3628458" cy="2376000"/>
                    </a:xfrm>
                    <a:prstGeom prst="rect">
                      <a:avLst/>
                    </a:prstGeom>
                    <a:ln>
                      <a:noFill/>
                    </a:ln>
                    <a:extLst>
                      <a:ext uri="{53640926-AAD7-44D8-BBD7-CCE9431645EC}">
                        <a14:shadowObscured xmlns:a14="http://schemas.microsoft.com/office/drawing/2010/main"/>
                      </a:ext>
                    </a:extLst>
                  </pic:spPr>
                </pic:pic>
              </a:graphicData>
            </a:graphic>
          </wp:inline>
        </w:drawing>
      </w:r>
    </w:p>
    <w:p w14:paraId="0DF4B15C" w14:textId="77777777" w:rsidR="00BC7354" w:rsidRPr="00CA190C" w:rsidRDefault="00BC7354" w:rsidP="00BC7354">
      <w:pPr>
        <w:ind w:firstLine="482"/>
        <w:jc w:val="center"/>
        <w:rPr>
          <w:rFonts w:cs="Times New Roman"/>
          <w:b/>
          <w:bCs/>
          <w:sz w:val="24"/>
          <w:szCs w:val="28"/>
        </w:rPr>
      </w:pPr>
      <w:r w:rsidRPr="00CA190C">
        <w:rPr>
          <w:rFonts w:cs="Times New Roman"/>
          <w:b/>
          <w:bCs/>
          <w:sz w:val="24"/>
          <w:szCs w:val="28"/>
        </w:rPr>
        <w:t>图</w:t>
      </w:r>
      <w:r w:rsidRPr="00CA190C">
        <w:rPr>
          <w:rFonts w:cs="Times New Roman"/>
          <w:b/>
          <w:bCs/>
          <w:sz w:val="24"/>
          <w:szCs w:val="28"/>
        </w:rPr>
        <w:t>3</w:t>
      </w:r>
      <w:r w:rsidRPr="00CA190C">
        <w:rPr>
          <w:rFonts w:cs="Times New Roman" w:hint="eastAsia"/>
          <w:b/>
          <w:bCs/>
          <w:sz w:val="24"/>
          <w:szCs w:val="28"/>
        </w:rPr>
        <w:t>-</w:t>
      </w:r>
      <w:r w:rsidRPr="00CA190C">
        <w:rPr>
          <w:rFonts w:cs="Times New Roman"/>
          <w:b/>
          <w:bCs/>
          <w:sz w:val="24"/>
          <w:szCs w:val="28"/>
        </w:rPr>
        <w:t xml:space="preserve">2 </w:t>
      </w:r>
      <w:r w:rsidRPr="00CA190C">
        <w:rPr>
          <w:rFonts w:cs="Times New Roman"/>
          <w:b/>
          <w:bCs/>
          <w:sz w:val="24"/>
          <w:szCs w:val="28"/>
        </w:rPr>
        <w:t>评估单元划分</w:t>
      </w:r>
    </w:p>
    <w:p w14:paraId="7F44CEFD" w14:textId="77777777" w:rsidR="00BC7354" w:rsidRPr="00CA190C" w:rsidRDefault="00BC7354" w:rsidP="00BC7354">
      <w:pPr>
        <w:snapToGrid w:val="0"/>
        <w:ind w:firstLine="560"/>
        <w:rPr>
          <w:rFonts w:ascii="仿宋" w:hAnsi="仿宋" w:cs="Times New Roman" w:hint="eastAsia"/>
        </w:rPr>
      </w:pPr>
      <w:bookmarkStart w:id="6" w:name="_Hlk151568744"/>
      <w:r w:rsidRPr="00CA190C">
        <w:rPr>
          <w:rFonts w:ascii="仿宋" w:hAnsi="仿宋" w:cs="Times New Roman"/>
        </w:rPr>
        <w:t>集聚区</w:t>
      </w:r>
      <w:r>
        <w:rPr>
          <w:rFonts w:ascii="仿宋" w:hAnsi="仿宋" w:cs="Times New Roman" w:hint="eastAsia"/>
        </w:rPr>
        <w:t>产业类型包括</w:t>
      </w:r>
      <w:r w:rsidRPr="00CA190C">
        <w:rPr>
          <w:rFonts w:ascii="仿宋" w:hAnsi="仿宋" w:cs="Times New Roman"/>
        </w:rPr>
        <w:t>化工（包括染（颜）料及其中间体、农药及其中间体、氟化工、医药制造）、机械电子、金属冶炼及加工（包括电镀（金属表面处理）、贵金属冶炼）、日用轻工及其他、建材加工等行业，其中化工、印染、金属冶炼及加工、人造革等需重点污染防治行业的企业占比70%以上，且这些类型的具有污染物排放量大。</w:t>
      </w:r>
    </w:p>
    <w:p w14:paraId="0DC5C570" w14:textId="77777777" w:rsidR="00BC7354" w:rsidRPr="00CA190C" w:rsidRDefault="00BC7354" w:rsidP="00BC7354">
      <w:pPr>
        <w:snapToGrid w:val="0"/>
        <w:ind w:firstLine="560"/>
        <w:rPr>
          <w:rFonts w:ascii="仿宋" w:hAnsi="仿宋" w:cs="Times New Roman" w:hint="eastAsia"/>
        </w:rPr>
      </w:pPr>
      <w:r w:rsidRPr="00CA190C">
        <w:rPr>
          <w:rFonts w:ascii="仿宋" w:hAnsi="仿宋" w:cs="Times New Roman"/>
        </w:rPr>
        <w:lastRenderedPageBreak/>
        <w:t>综合现有数据及污染物分布情况，选择地下水中挥发性酚类作为集聚区代表性有机污染物，采用“源-迁-汇”环境风险指标体系对各重点行业企业的环境风险进行评价，得到初步的集聚区环境风险等级分布图。</w:t>
      </w:r>
    </w:p>
    <w:bookmarkEnd w:id="6"/>
    <w:p w14:paraId="7734012C" w14:textId="77777777" w:rsidR="00BC7354" w:rsidRPr="00DF666D" w:rsidRDefault="00BC7354" w:rsidP="00BC7354">
      <w:pPr>
        <w:snapToGrid w:val="0"/>
        <w:ind w:firstLineChars="0" w:firstLine="0"/>
        <w:jc w:val="center"/>
        <w:rPr>
          <w:rFonts w:eastAsia="宋体" w:cs="Times New Roman"/>
        </w:rPr>
      </w:pPr>
      <w:r w:rsidRPr="00DF666D">
        <w:rPr>
          <w:rFonts w:eastAsia="宋体" w:cs="Times New Roman"/>
          <w:noProof/>
        </w:rPr>
        <w:drawing>
          <wp:inline distT="0" distB="0" distL="0" distR="0" wp14:anchorId="666C7B90" wp14:editId="6ACD3BDF">
            <wp:extent cx="3624274" cy="2376000"/>
            <wp:effectExtent l="0" t="0" r="0" b="5715"/>
            <wp:docPr id="21163510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51016" name=""/>
                    <pic:cNvPicPr/>
                  </pic:nvPicPr>
                  <pic:blipFill rotWithShape="1">
                    <a:blip r:embed="rId16"/>
                    <a:srcRect l="2438" t="3410"/>
                    <a:stretch/>
                  </pic:blipFill>
                  <pic:spPr bwMode="auto">
                    <a:xfrm>
                      <a:off x="0" y="0"/>
                      <a:ext cx="3624274" cy="2376000"/>
                    </a:xfrm>
                    <a:prstGeom prst="rect">
                      <a:avLst/>
                    </a:prstGeom>
                    <a:ln>
                      <a:noFill/>
                    </a:ln>
                    <a:extLst>
                      <a:ext uri="{53640926-AAD7-44D8-BBD7-CCE9431645EC}">
                        <a14:shadowObscured xmlns:a14="http://schemas.microsoft.com/office/drawing/2010/main"/>
                      </a:ext>
                    </a:extLst>
                  </pic:spPr>
                </pic:pic>
              </a:graphicData>
            </a:graphic>
          </wp:inline>
        </w:drawing>
      </w:r>
    </w:p>
    <w:p w14:paraId="211DEAA0" w14:textId="77777777" w:rsidR="00BC7354" w:rsidRPr="00CA190C" w:rsidRDefault="00BC7354" w:rsidP="00BC7354">
      <w:pPr>
        <w:ind w:firstLine="482"/>
        <w:jc w:val="center"/>
        <w:rPr>
          <w:rFonts w:cs="Times New Roman"/>
          <w:b/>
          <w:bCs/>
          <w:sz w:val="24"/>
          <w:szCs w:val="28"/>
        </w:rPr>
      </w:pPr>
      <w:r w:rsidRPr="00CA190C">
        <w:rPr>
          <w:rFonts w:cs="Times New Roman"/>
          <w:b/>
          <w:bCs/>
          <w:sz w:val="24"/>
          <w:szCs w:val="28"/>
        </w:rPr>
        <w:t>图</w:t>
      </w:r>
      <w:r w:rsidRPr="00CA190C">
        <w:rPr>
          <w:rFonts w:cs="Times New Roman"/>
          <w:b/>
          <w:bCs/>
          <w:sz w:val="24"/>
          <w:szCs w:val="28"/>
        </w:rPr>
        <w:t>3</w:t>
      </w:r>
      <w:r w:rsidRPr="00CA190C">
        <w:rPr>
          <w:rFonts w:cs="Times New Roman" w:hint="eastAsia"/>
          <w:b/>
          <w:bCs/>
          <w:sz w:val="24"/>
          <w:szCs w:val="28"/>
        </w:rPr>
        <w:t>-</w:t>
      </w:r>
      <w:r w:rsidRPr="00CA190C">
        <w:rPr>
          <w:rFonts w:cs="Times New Roman"/>
          <w:b/>
          <w:bCs/>
          <w:sz w:val="24"/>
          <w:szCs w:val="28"/>
        </w:rPr>
        <w:t xml:space="preserve">3 </w:t>
      </w:r>
      <w:r w:rsidRPr="00CA190C">
        <w:rPr>
          <w:rFonts w:cs="Times New Roman"/>
          <w:b/>
          <w:bCs/>
          <w:sz w:val="24"/>
          <w:szCs w:val="28"/>
        </w:rPr>
        <w:t>集聚区环境风险评价结果</w:t>
      </w:r>
    </w:p>
    <w:p w14:paraId="13BEB67F" w14:textId="77777777" w:rsidR="00BC7354" w:rsidRDefault="00BC7354" w:rsidP="00BC7354">
      <w:pPr>
        <w:snapToGrid w:val="0"/>
        <w:ind w:firstLine="560"/>
        <w:rPr>
          <w:rFonts w:ascii="仿宋" w:hAnsi="仿宋" w:cs="Times New Roman" w:hint="eastAsia"/>
        </w:rPr>
      </w:pPr>
      <w:r w:rsidRPr="00CA190C">
        <w:rPr>
          <w:rFonts w:ascii="仿宋" w:hAnsi="仿宋" w:cs="Times New Roman"/>
        </w:rPr>
        <w:t>结合集聚区内的道路、河流、企业边界，划定最终的集聚区地下水挥发性酚类高、中、低风险区域。</w:t>
      </w:r>
    </w:p>
    <w:p w14:paraId="166BECB9" w14:textId="77777777" w:rsidR="00BC7354" w:rsidRDefault="00BC7354" w:rsidP="00BC7354">
      <w:pPr>
        <w:snapToGrid w:val="0"/>
        <w:ind w:firstLine="560"/>
        <w:rPr>
          <w:rFonts w:ascii="仿宋" w:hAnsi="仿宋" w:cs="Times New Roman" w:hint="eastAsia"/>
        </w:rPr>
      </w:pPr>
      <w:r>
        <w:rPr>
          <w:rFonts w:ascii="仿宋" w:hAnsi="仿宋" w:cs="Times New Roman" w:hint="eastAsia"/>
        </w:rPr>
        <w:t>从分区结果可以看出，地下水中挥发性酚类的中高风险地区主要分布在集聚区的东北部、西北部及中间部分地区。结合集聚区地下水环境调查报告中的挥发性酚类污染分布情况看，挥发性酚类超标严重的地区也处于东北部、西北部及中间部分地区。但分区结果中的中间部分的中高风险地区略向西偏移，可能是因为中间部分的企业数据较为缺乏，与周边低风险地区合并时降低了风险等级，在今后的场地调查工作中可对这些企业进行重点关注。</w:t>
      </w:r>
    </w:p>
    <w:p w14:paraId="45652CBB" w14:textId="77777777" w:rsidR="00BC7354" w:rsidRPr="00DF666D" w:rsidRDefault="00BC7354" w:rsidP="00BC7354">
      <w:pPr>
        <w:ind w:firstLineChars="0" w:firstLine="0"/>
        <w:jc w:val="center"/>
        <w:rPr>
          <w:rFonts w:eastAsia="宋体" w:cs="Times New Roman"/>
        </w:rPr>
      </w:pPr>
      <w:r w:rsidRPr="00DF666D">
        <w:rPr>
          <w:rFonts w:eastAsia="宋体" w:cs="Times New Roman"/>
          <w:noProof/>
        </w:rPr>
        <w:lastRenderedPageBreak/>
        <w:drawing>
          <wp:inline distT="0" distB="0" distL="0" distR="0" wp14:anchorId="5E7EBDD1" wp14:editId="3F44D2AB">
            <wp:extent cx="3474720" cy="2220280"/>
            <wp:effectExtent l="0" t="0" r="0" b="8890"/>
            <wp:docPr id="12337523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52324" name=""/>
                    <pic:cNvPicPr/>
                  </pic:nvPicPr>
                  <pic:blipFill rotWithShape="1">
                    <a:blip r:embed="rId17"/>
                    <a:srcRect l="3247"/>
                    <a:stretch/>
                  </pic:blipFill>
                  <pic:spPr bwMode="auto">
                    <a:xfrm>
                      <a:off x="0" y="0"/>
                      <a:ext cx="3479793" cy="2223521"/>
                    </a:xfrm>
                    <a:prstGeom prst="rect">
                      <a:avLst/>
                    </a:prstGeom>
                    <a:ln>
                      <a:noFill/>
                    </a:ln>
                    <a:extLst>
                      <a:ext uri="{53640926-AAD7-44D8-BBD7-CCE9431645EC}">
                        <a14:shadowObscured xmlns:a14="http://schemas.microsoft.com/office/drawing/2010/main"/>
                      </a:ext>
                    </a:extLst>
                  </pic:spPr>
                </pic:pic>
              </a:graphicData>
            </a:graphic>
          </wp:inline>
        </w:drawing>
      </w:r>
    </w:p>
    <w:p w14:paraId="5571CC43" w14:textId="77777777" w:rsidR="00BC7354" w:rsidRPr="00CA190C" w:rsidRDefault="00BC7354" w:rsidP="00BC7354">
      <w:pPr>
        <w:ind w:firstLineChars="0" w:firstLine="0"/>
        <w:jc w:val="center"/>
        <w:rPr>
          <w:rFonts w:ascii="仿宋" w:hAnsi="仿宋" w:cs="Times New Roman" w:hint="eastAsia"/>
          <w:b/>
          <w:bCs/>
          <w:sz w:val="24"/>
          <w:szCs w:val="21"/>
        </w:rPr>
      </w:pPr>
      <w:r w:rsidRPr="00CA190C">
        <w:rPr>
          <w:rFonts w:ascii="仿宋" w:hAnsi="仿宋" w:cs="Times New Roman"/>
          <w:b/>
          <w:bCs/>
          <w:sz w:val="24"/>
          <w:szCs w:val="21"/>
        </w:rPr>
        <w:t>图3</w:t>
      </w:r>
      <w:r w:rsidRPr="00CA190C">
        <w:rPr>
          <w:rFonts w:ascii="仿宋" w:hAnsi="仿宋" w:cs="Times New Roman" w:hint="eastAsia"/>
          <w:b/>
          <w:bCs/>
          <w:sz w:val="24"/>
          <w:szCs w:val="21"/>
        </w:rPr>
        <w:t>-</w:t>
      </w:r>
      <w:r w:rsidRPr="00CA190C">
        <w:rPr>
          <w:rFonts w:ascii="仿宋" w:hAnsi="仿宋" w:cs="Times New Roman"/>
          <w:b/>
          <w:bCs/>
          <w:sz w:val="24"/>
          <w:szCs w:val="21"/>
        </w:rPr>
        <w:t>4 集聚区</w:t>
      </w:r>
      <w:r w:rsidRPr="00CA190C">
        <w:rPr>
          <w:rFonts w:ascii="仿宋" w:hAnsi="仿宋" w:cs="Times New Roman" w:hint="eastAsia"/>
          <w:b/>
          <w:bCs/>
          <w:sz w:val="24"/>
          <w:szCs w:val="21"/>
        </w:rPr>
        <w:t>土壤</w:t>
      </w:r>
      <w:r w:rsidRPr="00CA190C">
        <w:rPr>
          <w:rFonts w:ascii="仿宋" w:hAnsi="仿宋" w:cs="Times New Roman"/>
          <w:b/>
          <w:bCs/>
          <w:sz w:val="24"/>
          <w:szCs w:val="21"/>
        </w:rPr>
        <w:t>环境风险分区结果</w:t>
      </w:r>
    </w:p>
    <w:p w14:paraId="09B60760" w14:textId="77777777" w:rsidR="00BC7354" w:rsidRPr="00CA190C" w:rsidRDefault="00BC7354" w:rsidP="00BC7354">
      <w:pPr>
        <w:ind w:firstLineChars="0" w:firstLine="0"/>
        <w:jc w:val="center"/>
        <w:rPr>
          <w:rFonts w:ascii="仿宋" w:hAnsi="仿宋" w:cs="Times New Roman" w:hint="eastAsia"/>
          <w:b/>
          <w:bCs/>
          <w:sz w:val="24"/>
          <w:szCs w:val="21"/>
        </w:rPr>
      </w:pPr>
      <w:r w:rsidRPr="00CA190C">
        <w:rPr>
          <w:rFonts w:ascii="仿宋" w:hAnsi="仿宋" w:cs="Times New Roman"/>
          <w:b/>
          <w:bCs/>
          <w:noProof/>
          <w:sz w:val="24"/>
          <w:szCs w:val="21"/>
        </w:rPr>
        <w:drawing>
          <wp:inline distT="0" distB="0" distL="0" distR="0" wp14:anchorId="4E52B87F" wp14:editId="567CB9D3">
            <wp:extent cx="3358104" cy="2376000"/>
            <wp:effectExtent l="0" t="0" r="0" b="5715"/>
            <wp:docPr id="1543336564" name="图片 154333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8104" cy="2376000"/>
                    </a:xfrm>
                    <a:prstGeom prst="rect">
                      <a:avLst/>
                    </a:prstGeom>
                  </pic:spPr>
                </pic:pic>
              </a:graphicData>
            </a:graphic>
          </wp:inline>
        </w:drawing>
      </w:r>
    </w:p>
    <w:p w14:paraId="2745A9F8" w14:textId="77777777" w:rsidR="00BC7354" w:rsidRPr="00CA190C" w:rsidRDefault="00BC7354" w:rsidP="00BC7354">
      <w:pPr>
        <w:ind w:firstLineChars="0" w:firstLine="0"/>
        <w:jc w:val="center"/>
        <w:rPr>
          <w:rFonts w:ascii="仿宋" w:hAnsi="仿宋" w:cs="Times New Roman" w:hint="eastAsia"/>
          <w:b/>
          <w:bCs/>
          <w:sz w:val="24"/>
          <w:szCs w:val="21"/>
        </w:rPr>
      </w:pPr>
      <w:r w:rsidRPr="00CA190C">
        <w:rPr>
          <w:rFonts w:ascii="仿宋" w:hAnsi="仿宋" w:cs="Times New Roman"/>
          <w:b/>
          <w:bCs/>
          <w:sz w:val="24"/>
          <w:szCs w:val="21"/>
        </w:rPr>
        <w:t>图3</w:t>
      </w:r>
      <w:r w:rsidRPr="00CA190C">
        <w:rPr>
          <w:rFonts w:ascii="仿宋" w:hAnsi="仿宋" w:cs="Times New Roman" w:hint="eastAsia"/>
          <w:b/>
          <w:bCs/>
          <w:sz w:val="24"/>
          <w:szCs w:val="21"/>
        </w:rPr>
        <w:t>-</w:t>
      </w:r>
      <w:r w:rsidRPr="00CA190C">
        <w:rPr>
          <w:rFonts w:ascii="仿宋" w:hAnsi="仿宋" w:cs="Times New Roman"/>
          <w:b/>
          <w:bCs/>
          <w:sz w:val="24"/>
          <w:szCs w:val="21"/>
        </w:rPr>
        <w:t>5 集聚区</w:t>
      </w:r>
      <w:r w:rsidRPr="00CA190C">
        <w:rPr>
          <w:rFonts w:ascii="仿宋" w:hAnsi="仿宋" w:cs="Times New Roman" w:hint="eastAsia"/>
          <w:b/>
          <w:bCs/>
          <w:sz w:val="24"/>
          <w:szCs w:val="21"/>
        </w:rPr>
        <w:t>土壤</w:t>
      </w:r>
      <w:r w:rsidRPr="00CA190C">
        <w:rPr>
          <w:rFonts w:ascii="仿宋" w:hAnsi="仿宋" w:cs="Times New Roman"/>
          <w:b/>
          <w:bCs/>
          <w:sz w:val="24"/>
          <w:szCs w:val="21"/>
        </w:rPr>
        <w:t>挥发性酚类污染分布图</w:t>
      </w:r>
    </w:p>
    <w:p w14:paraId="1AF27B66" w14:textId="77777777" w:rsidR="00BC7354" w:rsidRPr="00BC7354" w:rsidRDefault="00BC7354" w:rsidP="00BC7354">
      <w:pPr>
        <w:snapToGrid w:val="0"/>
        <w:spacing w:line="240" w:lineRule="auto"/>
        <w:ind w:firstLine="440"/>
        <w:rPr>
          <w:sz w:val="22"/>
          <w:szCs w:val="20"/>
        </w:rPr>
      </w:pPr>
    </w:p>
    <w:p w14:paraId="6BC62E0E" w14:textId="6B2A0410" w:rsidR="00721A21" w:rsidRDefault="00BC7354" w:rsidP="00BC7354">
      <w:pPr>
        <w:pStyle w:val="2"/>
      </w:pPr>
      <w:r>
        <w:rPr>
          <w:rFonts w:hint="eastAsia"/>
        </w:rPr>
        <w:t>3.</w:t>
      </w:r>
      <w:r w:rsidR="00721A21">
        <w:rPr>
          <w:rFonts w:hint="eastAsia"/>
        </w:rPr>
        <w:t>技术经济论证</w:t>
      </w:r>
    </w:p>
    <w:p w14:paraId="5A36E5C1" w14:textId="77777777" w:rsidR="00BC7354" w:rsidRDefault="00034B8C" w:rsidP="00492BB4">
      <w:pPr>
        <w:snapToGrid w:val="0"/>
        <w:ind w:firstLine="560"/>
      </w:pPr>
      <w:r>
        <w:rPr>
          <w:rFonts w:hint="eastAsia"/>
        </w:rPr>
        <w:t>从技术经济角度分析，</w:t>
      </w:r>
      <w:r w:rsidRPr="00034B8C">
        <w:rPr>
          <w:rFonts w:hint="eastAsia"/>
        </w:rPr>
        <w:t>本标准的实施将显著提升工业集聚区土壤</w:t>
      </w:r>
      <w:r w:rsidRPr="00034B8C">
        <w:rPr>
          <w:rFonts w:hint="eastAsia"/>
        </w:rPr>
        <w:t>-</w:t>
      </w:r>
      <w:r w:rsidRPr="00034B8C">
        <w:rPr>
          <w:rFonts w:hint="eastAsia"/>
        </w:rPr>
        <w:t>地下水环境管理的针对性、精细化和资源利用效率。通过构建以污染源荷载、迁移能力和环境脆弱性为核心的三维指标体系，并采用环境风险综合指数模型进行客观量化与空间可视化，能够精准识别高风险单元，从而避免“一刀切”式的粗放治理。相较于传统的全面监测与均匀治理模式，本标准倡导的分区分类分级管理预计可节约总体治理成本</w:t>
      </w:r>
      <w:r w:rsidRPr="00034B8C">
        <w:rPr>
          <w:rFonts w:hint="eastAsia"/>
        </w:rPr>
        <w:t>20%</w:t>
      </w:r>
      <w:r w:rsidRPr="00034B8C">
        <w:rPr>
          <w:rFonts w:hint="eastAsia"/>
        </w:rPr>
        <w:t>至</w:t>
      </w:r>
      <w:r w:rsidRPr="00034B8C">
        <w:rPr>
          <w:rFonts w:hint="eastAsia"/>
        </w:rPr>
        <w:t>30%</w:t>
      </w:r>
      <w:r w:rsidRPr="00034B8C">
        <w:rPr>
          <w:rFonts w:hint="eastAsia"/>
        </w:rPr>
        <w:t>。这一效益具体体现在多个方面：</w:t>
      </w:r>
    </w:p>
    <w:p w14:paraId="5967281A" w14:textId="77777777" w:rsidR="00BC7354" w:rsidRDefault="00BC7354" w:rsidP="00492BB4">
      <w:pPr>
        <w:snapToGrid w:val="0"/>
        <w:ind w:firstLine="560"/>
      </w:pPr>
      <w:r>
        <w:rPr>
          <w:rFonts w:hint="eastAsia"/>
        </w:rPr>
        <w:lastRenderedPageBreak/>
        <w:t>（</w:t>
      </w:r>
      <w:r>
        <w:rPr>
          <w:rFonts w:hint="eastAsia"/>
        </w:rPr>
        <w:t>1</w:t>
      </w:r>
      <w:r>
        <w:rPr>
          <w:rFonts w:hint="eastAsia"/>
        </w:rPr>
        <w:t>）</w:t>
      </w:r>
      <w:r w:rsidR="00034B8C" w:rsidRPr="00034B8C">
        <w:rPr>
          <w:rFonts w:hint="eastAsia"/>
        </w:rPr>
        <w:t>通过空间聚类与</w:t>
      </w:r>
      <w:r w:rsidR="00034B8C" w:rsidRPr="00034B8C">
        <w:rPr>
          <w:rFonts w:hint="eastAsia"/>
        </w:rPr>
        <w:t>GIS</w:t>
      </w:r>
      <w:r w:rsidR="00034B8C" w:rsidRPr="00034B8C">
        <w:rPr>
          <w:rFonts w:hint="eastAsia"/>
        </w:rPr>
        <w:t>叠置分析优化监测点位布设，可减少冗余采样与分析，降低监测成本约</w:t>
      </w:r>
      <w:r w:rsidR="00034B8C" w:rsidRPr="00034B8C">
        <w:rPr>
          <w:rFonts w:hint="eastAsia"/>
        </w:rPr>
        <w:t>15%</w:t>
      </w:r>
      <w:r w:rsidR="00034B8C" w:rsidRPr="00034B8C">
        <w:rPr>
          <w:rFonts w:hint="eastAsia"/>
        </w:rPr>
        <w:t>至</w:t>
      </w:r>
      <w:r w:rsidR="00034B8C" w:rsidRPr="00034B8C">
        <w:rPr>
          <w:rFonts w:hint="eastAsia"/>
        </w:rPr>
        <w:t>25%</w:t>
      </w:r>
      <w:r w:rsidR="00034B8C" w:rsidRPr="00034B8C">
        <w:rPr>
          <w:rFonts w:hint="eastAsia"/>
        </w:rPr>
        <w:t>；</w:t>
      </w:r>
    </w:p>
    <w:p w14:paraId="078EABD7" w14:textId="67330EB9" w:rsidR="00BC7354" w:rsidRDefault="00BC7354" w:rsidP="00492BB4">
      <w:pPr>
        <w:snapToGrid w:val="0"/>
        <w:ind w:firstLine="560"/>
      </w:pPr>
      <w:r>
        <w:rPr>
          <w:rFonts w:hint="eastAsia"/>
        </w:rPr>
        <w:t>（</w:t>
      </w:r>
      <w:r>
        <w:rPr>
          <w:rFonts w:hint="eastAsia"/>
        </w:rPr>
        <w:t>2</w:t>
      </w:r>
      <w:r>
        <w:rPr>
          <w:rFonts w:hint="eastAsia"/>
        </w:rPr>
        <w:t>）</w:t>
      </w:r>
      <w:r w:rsidR="00034B8C" w:rsidRPr="00034B8C">
        <w:rPr>
          <w:rFonts w:hint="eastAsia"/>
        </w:rPr>
        <w:t>通过将有限资源优先投入高风险区（</w:t>
      </w:r>
      <w:r w:rsidR="00556D06">
        <w:rPr>
          <w:rFonts w:hint="eastAsia"/>
        </w:rPr>
        <w:t>重点管控</w:t>
      </w:r>
      <w:r w:rsidR="00034B8C" w:rsidRPr="00034B8C">
        <w:rPr>
          <w:rFonts w:hint="eastAsia"/>
        </w:rPr>
        <w:t>区），同时在中低风险区（</w:t>
      </w:r>
      <w:r w:rsidR="00556D06">
        <w:rPr>
          <w:rFonts w:hint="eastAsia"/>
        </w:rPr>
        <w:t>一般管控区</w:t>
      </w:r>
      <w:r w:rsidR="00034B8C" w:rsidRPr="00034B8C">
        <w:rPr>
          <w:rFonts w:hint="eastAsia"/>
        </w:rPr>
        <w:t>、</w:t>
      </w:r>
      <w:r w:rsidR="00556D06">
        <w:rPr>
          <w:rFonts w:hint="eastAsia"/>
        </w:rPr>
        <w:t>风险预防</w:t>
      </w:r>
      <w:r w:rsidR="00034B8C" w:rsidRPr="00034B8C">
        <w:rPr>
          <w:rFonts w:hint="eastAsia"/>
        </w:rPr>
        <w:t>区）采取成本更低的监控与预防措施，可实现治理资源的优化配置，使修复资金的使用集中度提高</w:t>
      </w:r>
      <w:r w:rsidR="00034B8C" w:rsidRPr="00034B8C">
        <w:rPr>
          <w:rFonts w:hint="eastAsia"/>
        </w:rPr>
        <w:t>30%</w:t>
      </w:r>
      <w:r w:rsidR="00034B8C" w:rsidRPr="00034B8C">
        <w:rPr>
          <w:rFonts w:hint="eastAsia"/>
        </w:rPr>
        <w:t>以上；</w:t>
      </w:r>
    </w:p>
    <w:p w14:paraId="2CE1BA4F" w14:textId="6D014A3E" w:rsidR="00034B8C" w:rsidRDefault="00BC7354" w:rsidP="00492BB4">
      <w:pPr>
        <w:snapToGrid w:val="0"/>
        <w:ind w:firstLine="560"/>
      </w:pPr>
      <w:r>
        <w:rPr>
          <w:rFonts w:hint="eastAsia"/>
        </w:rPr>
        <w:t>（</w:t>
      </w:r>
      <w:r>
        <w:rPr>
          <w:rFonts w:hint="eastAsia"/>
        </w:rPr>
        <w:t>3</w:t>
      </w:r>
      <w:r>
        <w:rPr>
          <w:rFonts w:hint="eastAsia"/>
        </w:rPr>
        <w:t>）</w:t>
      </w:r>
      <w:r w:rsidR="00034B8C" w:rsidRPr="00034B8C">
        <w:rPr>
          <w:rFonts w:hint="eastAsia"/>
        </w:rPr>
        <w:t>配套的智能评估系统的应用可实现数据集成与快速评估，将评估工作效率提升约</w:t>
      </w:r>
      <w:r w:rsidR="00034B8C" w:rsidRPr="00034B8C">
        <w:rPr>
          <w:rFonts w:hint="eastAsia"/>
        </w:rPr>
        <w:t>40%</w:t>
      </w:r>
      <w:r w:rsidR="00034B8C" w:rsidRPr="00034B8C">
        <w:rPr>
          <w:rFonts w:hint="eastAsia"/>
        </w:rPr>
        <w:t>，并有效减少人为研判偏差，进一步增强了本标准的技术可行性与经济合理性。</w:t>
      </w:r>
    </w:p>
    <w:p w14:paraId="658A1AD1" w14:textId="77777777" w:rsidR="00BC7354" w:rsidRPr="00BC7354" w:rsidRDefault="00BC7354" w:rsidP="00BC7354">
      <w:pPr>
        <w:snapToGrid w:val="0"/>
        <w:spacing w:line="240" w:lineRule="auto"/>
        <w:ind w:firstLine="440"/>
        <w:rPr>
          <w:sz w:val="22"/>
          <w:szCs w:val="20"/>
        </w:rPr>
      </w:pPr>
    </w:p>
    <w:p w14:paraId="6AB53FD7" w14:textId="1C15022D" w:rsidR="00721A21" w:rsidRPr="00721A21" w:rsidRDefault="00BC7354" w:rsidP="00BC7354">
      <w:pPr>
        <w:pStyle w:val="2"/>
      </w:pPr>
      <w:r>
        <w:rPr>
          <w:rFonts w:hint="eastAsia"/>
        </w:rPr>
        <w:t>4.</w:t>
      </w:r>
      <w:r w:rsidR="00721A21">
        <w:rPr>
          <w:rFonts w:hint="eastAsia"/>
        </w:rPr>
        <w:t>预期效益分析</w:t>
      </w:r>
    </w:p>
    <w:p w14:paraId="6006DC61" w14:textId="77777777" w:rsidR="00ED08DD" w:rsidRDefault="0084529F" w:rsidP="00492BB4">
      <w:pPr>
        <w:snapToGrid w:val="0"/>
        <w:ind w:firstLine="560"/>
      </w:pPr>
      <w:r>
        <w:rPr>
          <w:rFonts w:hint="eastAsia"/>
        </w:rPr>
        <w:t>预期本标准发布实施后，将为企业、园区及政府管理部门提供统一、规范的分区分类分级技术依据，</w:t>
      </w:r>
      <w:r w:rsidR="00547C58" w:rsidRPr="00547C58">
        <w:rPr>
          <w:rFonts w:hint="eastAsia"/>
        </w:rPr>
        <w:t>推动实现精准化、系统化的差异化管控，从而产生显著的综合效益。</w:t>
      </w:r>
    </w:p>
    <w:p w14:paraId="1FF37363" w14:textId="6FF9E680" w:rsidR="00ED08DD" w:rsidRDefault="00547C58" w:rsidP="00492BB4">
      <w:pPr>
        <w:snapToGrid w:val="0"/>
        <w:ind w:firstLine="560"/>
      </w:pPr>
      <w:r w:rsidRPr="00547C58">
        <w:rPr>
          <w:rFonts w:hint="eastAsia"/>
        </w:rPr>
        <w:t>环境效益上，通过执行“</w:t>
      </w:r>
      <w:r w:rsidR="007C3011">
        <w:rPr>
          <w:rFonts w:hint="eastAsia"/>
        </w:rPr>
        <w:t>重点管控区</w:t>
      </w:r>
      <w:r w:rsidRPr="00547C58">
        <w:rPr>
          <w:rFonts w:hint="eastAsia"/>
        </w:rPr>
        <w:t>、</w:t>
      </w:r>
      <w:r w:rsidR="007C3011">
        <w:rPr>
          <w:rFonts w:hint="eastAsia"/>
        </w:rPr>
        <w:t>一般管控区</w:t>
      </w:r>
      <w:r w:rsidRPr="00547C58">
        <w:rPr>
          <w:rFonts w:hint="eastAsia"/>
        </w:rPr>
        <w:t>、</w:t>
      </w:r>
      <w:r w:rsidR="007C3011">
        <w:rPr>
          <w:rFonts w:hint="eastAsia"/>
        </w:rPr>
        <w:t>风险预防区</w:t>
      </w:r>
      <w:r w:rsidRPr="00547C58">
        <w:rPr>
          <w:rFonts w:hint="eastAsia"/>
        </w:rPr>
        <w:t>”三级策略，预计能有效</w:t>
      </w:r>
      <w:r w:rsidR="00ED08DD">
        <w:rPr>
          <w:rFonts w:hint="eastAsia"/>
        </w:rPr>
        <w:t>识别污染风险区，</w:t>
      </w:r>
      <w:r w:rsidRPr="00547C58">
        <w:rPr>
          <w:rFonts w:hint="eastAsia"/>
        </w:rPr>
        <w:t>遏制高风险区域的污染扩散趋势，著改善区域生态环境质量。</w:t>
      </w:r>
    </w:p>
    <w:p w14:paraId="2ADF97F3" w14:textId="77777777" w:rsidR="00ED08DD" w:rsidRDefault="00547C58" w:rsidP="00492BB4">
      <w:pPr>
        <w:snapToGrid w:val="0"/>
        <w:ind w:firstLine="560"/>
      </w:pPr>
      <w:r w:rsidRPr="00547C58">
        <w:rPr>
          <w:rFonts w:hint="eastAsia"/>
        </w:rPr>
        <w:t>经济效益上，除了前述可观的成本节约外，更体现在对土地资产的增值效应上，通过提升污染地块再开发的安全性与可行性，预计可带动园区土地再利用率提高</w:t>
      </w:r>
      <w:r w:rsidRPr="00547C58">
        <w:rPr>
          <w:rFonts w:hint="eastAsia"/>
        </w:rPr>
        <w:t>10%</w:t>
      </w:r>
      <w:r w:rsidRPr="00547C58">
        <w:rPr>
          <w:rFonts w:hint="eastAsia"/>
        </w:rPr>
        <w:t>至</w:t>
      </w:r>
      <w:r w:rsidRPr="00547C58">
        <w:rPr>
          <w:rFonts w:hint="eastAsia"/>
        </w:rPr>
        <w:t>15</w:t>
      </w:r>
      <w:r>
        <w:rPr>
          <w:rFonts w:hint="eastAsia"/>
        </w:rPr>
        <w:t>%</w:t>
      </w:r>
      <w:r w:rsidRPr="00547C58">
        <w:rPr>
          <w:rFonts w:hint="eastAsia"/>
        </w:rPr>
        <w:t>，土地资产价值随之增长</w:t>
      </w:r>
      <w:r w:rsidRPr="00547C58">
        <w:rPr>
          <w:rFonts w:hint="eastAsia"/>
        </w:rPr>
        <w:t>15%</w:t>
      </w:r>
      <w:r w:rsidRPr="00547C58">
        <w:rPr>
          <w:rFonts w:hint="eastAsia"/>
        </w:rPr>
        <w:t>至</w:t>
      </w:r>
      <w:r w:rsidRPr="00547C58">
        <w:rPr>
          <w:rFonts w:hint="eastAsia"/>
        </w:rPr>
        <w:t>25%</w:t>
      </w:r>
      <w:r w:rsidRPr="00547C58">
        <w:rPr>
          <w:rFonts w:hint="eastAsia"/>
        </w:rPr>
        <w:t>。</w:t>
      </w:r>
    </w:p>
    <w:p w14:paraId="465EFE76" w14:textId="599E5995" w:rsidR="00190C48" w:rsidRDefault="00547C58" w:rsidP="00492BB4">
      <w:pPr>
        <w:snapToGrid w:val="0"/>
        <w:ind w:firstLine="560"/>
      </w:pPr>
      <w:r w:rsidRPr="00547C58">
        <w:rPr>
          <w:rFonts w:hint="eastAsia"/>
        </w:rPr>
        <w:t>社会效益上，标准的实施将增强公众对工业集聚区环境安全的信心，减少环境投诉与邻避效应，提升园区社会责任形象，同时有力推动工业绿色转型与区域可持续发展，为实现“双碳”目标与建设美丽中国提供坚实的技术支撑。</w:t>
      </w:r>
    </w:p>
    <w:p w14:paraId="4554C929" w14:textId="77777777" w:rsidR="00190C48" w:rsidRDefault="001C30E7" w:rsidP="00C57254">
      <w:pPr>
        <w:pStyle w:val="1"/>
      </w:pPr>
      <w:bookmarkStart w:id="7" w:name="_Toc212038023"/>
      <w:r>
        <w:rPr>
          <w:rFonts w:hint="eastAsia"/>
        </w:rPr>
        <w:lastRenderedPageBreak/>
        <w:t>四、与国际、国外同类标准技术内容的对比情况，或者与测试的国外样品、样机的有关数据对比情况</w:t>
      </w:r>
      <w:bookmarkEnd w:id="7"/>
    </w:p>
    <w:p w14:paraId="60B610FF" w14:textId="77777777" w:rsidR="00A6211B" w:rsidRDefault="004F50CE" w:rsidP="00ED08DD">
      <w:pPr>
        <w:snapToGrid w:val="0"/>
        <w:ind w:firstLine="560"/>
      </w:pPr>
      <w:r w:rsidRPr="004F50CE">
        <w:rPr>
          <w:rFonts w:hint="eastAsia"/>
        </w:rPr>
        <w:t>在与国际、国外同类标准技术内容进行系统对比分析后，</w:t>
      </w:r>
      <w:r>
        <w:rPr>
          <w:rFonts w:hint="eastAsia"/>
        </w:rPr>
        <w:t>本标准</w:t>
      </w:r>
      <w:r w:rsidRPr="004F50CE">
        <w:rPr>
          <w:rFonts w:hint="eastAsia"/>
        </w:rPr>
        <w:t>展现出独特的技术定位与显著的创新价值。从标准体系的全局视角审视，国际标准化组织（</w:t>
      </w:r>
      <w:r w:rsidRPr="004F50CE">
        <w:rPr>
          <w:rFonts w:hint="eastAsia"/>
        </w:rPr>
        <w:t>ISO</w:t>
      </w:r>
      <w:r w:rsidRPr="004F50CE">
        <w:rPr>
          <w:rFonts w:hint="eastAsia"/>
        </w:rPr>
        <w:t>）近年来发布的标准如</w:t>
      </w:r>
      <w:r w:rsidRPr="004F50CE">
        <w:rPr>
          <w:rFonts w:hint="eastAsia"/>
        </w:rPr>
        <w:t>ISO 11465:2025</w:t>
      </w:r>
      <w:r w:rsidRPr="004F50CE">
        <w:rPr>
          <w:rFonts w:hint="eastAsia"/>
        </w:rPr>
        <w:t>主要聚焦于土壤干物质含量测定等基础分析方法，旨在确保实验室检测数据的准确性与可比性，这类标准为本</w:t>
      </w:r>
      <w:r>
        <w:rPr>
          <w:rFonts w:hint="eastAsia"/>
        </w:rPr>
        <w:t>标准</w:t>
      </w:r>
      <w:r w:rsidRPr="004F50CE">
        <w:rPr>
          <w:rFonts w:hint="eastAsia"/>
        </w:rPr>
        <w:t>中污染物浓度等关键指标的量化提供了重要的基础数据支撑，但其技术范畴并未延伸到宏观环境风险评价与空间分区管理层面。美国材料与试验协会（</w:t>
      </w:r>
      <w:r w:rsidRPr="004F50CE">
        <w:rPr>
          <w:rFonts w:hint="eastAsia"/>
        </w:rPr>
        <w:t>ASTM</w:t>
      </w:r>
      <w:r w:rsidRPr="004F50CE">
        <w:rPr>
          <w:rFonts w:hint="eastAsia"/>
        </w:rPr>
        <w:t>）发布的</w:t>
      </w:r>
      <w:r w:rsidRPr="004F50CE">
        <w:rPr>
          <w:rFonts w:hint="eastAsia"/>
        </w:rPr>
        <w:t>ASTM E3136-25</w:t>
      </w:r>
      <w:r w:rsidRPr="004F50CE">
        <w:rPr>
          <w:rFonts w:hint="eastAsia"/>
        </w:rPr>
        <w:t>标准虽然同样体现了系统性风险和分级分类的先进管理理念，在方法论层面具有一定参考价值，但其核心管理目标指向的是宏观水资源的气候韧性建设，其风险驱动因子以气候变量为主，与本研究需要解决的工业污染物在土壤</w:t>
      </w:r>
      <w:r w:rsidRPr="004F50CE">
        <w:rPr>
          <w:rFonts w:hint="eastAsia"/>
        </w:rPr>
        <w:t>-</w:t>
      </w:r>
      <w:r w:rsidRPr="004F50CE">
        <w:rPr>
          <w:rFonts w:hint="eastAsia"/>
        </w:rPr>
        <w:t>地下水中迁移、转化与暴露的核心问题存在显著差异。欧洲标准化委员会（</w:t>
      </w:r>
      <w:r w:rsidRPr="004F50CE">
        <w:rPr>
          <w:rFonts w:hint="eastAsia"/>
        </w:rPr>
        <w:t>CEN</w:t>
      </w:r>
      <w:r w:rsidRPr="004F50CE">
        <w:rPr>
          <w:rFonts w:hint="eastAsia"/>
        </w:rPr>
        <w:t>）推出的</w:t>
      </w:r>
      <w:r w:rsidRPr="004F50CE">
        <w:rPr>
          <w:rFonts w:hint="eastAsia"/>
        </w:rPr>
        <w:t>EN ISO 11074:2025</w:t>
      </w:r>
      <w:r w:rsidRPr="004F50CE">
        <w:rPr>
          <w:rFonts w:hint="eastAsia"/>
        </w:rPr>
        <w:t>标准则致力于统一土壤质量领域的专业术语和定义，属于基础性语义规范范畴，旨在为国际技术交流扫清概念障碍。</w:t>
      </w:r>
    </w:p>
    <w:p w14:paraId="43B6DE14" w14:textId="55F1EBC0" w:rsidR="004F50CE" w:rsidRDefault="004F50CE" w:rsidP="00F5069A">
      <w:pPr>
        <w:snapToGrid w:val="0"/>
        <w:ind w:firstLine="560"/>
      </w:pPr>
      <w:r w:rsidRPr="004F50CE">
        <w:rPr>
          <w:rFonts w:hint="eastAsia"/>
        </w:rPr>
        <w:t>相较于这些各有侧重的国际标准，本</w:t>
      </w:r>
      <w:r>
        <w:rPr>
          <w:rFonts w:hint="eastAsia"/>
        </w:rPr>
        <w:t>标准</w:t>
      </w:r>
      <w:r w:rsidRPr="004F50CE">
        <w:rPr>
          <w:rFonts w:hint="eastAsia"/>
        </w:rPr>
        <w:t>的核心在于构建了一套逻辑严密、操作性强的“风险评价分级—风险聚类分区—风险关注度分类”全链条技术流程。该流程深度融合了“源</w:t>
      </w:r>
      <w:r w:rsidRPr="004F50CE">
        <w:rPr>
          <w:rFonts w:hint="eastAsia"/>
        </w:rPr>
        <w:t>-</w:t>
      </w:r>
      <w:r w:rsidRPr="004F50CE">
        <w:rPr>
          <w:rFonts w:hint="eastAsia"/>
        </w:rPr>
        <w:t>迁</w:t>
      </w:r>
      <w:r w:rsidRPr="004F50CE">
        <w:rPr>
          <w:rFonts w:hint="eastAsia"/>
        </w:rPr>
        <w:t>-</w:t>
      </w:r>
      <w:r w:rsidR="006D75E6">
        <w:rPr>
          <w:rFonts w:hint="eastAsia"/>
        </w:rPr>
        <w:t>汇</w:t>
      </w:r>
      <w:r w:rsidRPr="004F50CE">
        <w:rPr>
          <w:rFonts w:hint="eastAsia"/>
        </w:rPr>
        <w:t>”理论框架下的多层次定量化指标评价体系，创新性地</w:t>
      </w:r>
      <w:r w:rsidR="006D75E6">
        <w:rPr>
          <w:rFonts w:hint="eastAsia"/>
        </w:rPr>
        <w:t>采用定性与定量分析相结合提出</w:t>
      </w:r>
      <w:r w:rsidRPr="004F50CE">
        <w:rPr>
          <w:rFonts w:hint="eastAsia"/>
        </w:rPr>
        <w:t>了环境风险综合指数（</w:t>
      </w:r>
      <w:r w:rsidRPr="004F50CE">
        <w:rPr>
          <w:rFonts w:hint="eastAsia"/>
        </w:rPr>
        <w:t>RI</w:t>
      </w:r>
      <w:r w:rsidRPr="004F50CE">
        <w:rPr>
          <w:rFonts w:hint="eastAsia"/>
        </w:rPr>
        <w:t>）模型，并</w:t>
      </w:r>
      <w:r w:rsidR="006D75E6">
        <w:rPr>
          <w:rFonts w:hint="eastAsia"/>
        </w:rPr>
        <w:t>基于</w:t>
      </w:r>
      <w:r w:rsidRPr="004F50CE">
        <w:rPr>
          <w:rFonts w:hint="eastAsia"/>
        </w:rPr>
        <w:t>GIS</w:t>
      </w:r>
      <w:r w:rsidR="006D75E6">
        <w:rPr>
          <w:rFonts w:hint="eastAsia"/>
        </w:rPr>
        <w:t>软件</w:t>
      </w:r>
      <w:r w:rsidRPr="004F50CE">
        <w:rPr>
          <w:rFonts w:hint="eastAsia"/>
        </w:rPr>
        <w:t>空间聚类分析、叠置分析等先进空间信息技术，实现了从污染源识别、</w:t>
      </w:r>
      <w:r w:rsidR="006D75E6" w:rsidRPr="004F50CE">
        <w:rPr>
          <w:rFonts w:hint="eastAsia"/>
        </w:rPr>
        <w:t>空间单元划分到</w:t>
      </w:r>
      <w:r w:rsidRPr="004F50CE">
        <w:rPr>
          <w:rFonts w:hint="eastAsia"/>
        </w:rPr>
        <w:t>风险等级判定，再到差异化管控策略制定的完整闭环。在国内技术标准</w:t>
      </w:r>
      <w:r w:rsidR="001A3560">
        <w:rPr>
          <w:rFonts w:hint="eastAsia"/>
        </w:rPr>
        <w:t>体系</w:t>
      </w:r>
      <w:r w:rsidRPr="004F50CE">
        <w:rPr>
          <w:rFonts w:hint="eastAsia"/>
        </w:rPr>
        <w:t>中，本</w:t>
      </w:r>
      <w:r>
        <w:rPr>
          <w:rFonts w:hint="eastAsia"/>
        </w:rPr>
        <w:t>标准</w:t>
      </w:r>
      <w:r w:rsidRPr="004F50CE">
        <w:rPr>
          <w:rFonts w:hint="eastAsia"/>
        </w:rPr>
        <w:t>与</w:t>
      </w:r>
      <w:r w:rsidR="000E1D60">
        <w:rPr>
          <w:rFonts w:hint="eastAsia"/>
        </w:rPr>
        <w:t>《</w:t>
      </w:r>
      <w:r w:rsidR="003E0F8B" w:rsidRPr="003E0F8B">
        <w:rPr>
          <w:rFonts w:hint="eastAsia"/>
        </w:rPr>
        <w:t>建设用地土壤污染风险评估技术导则</w:t>
      </w:r>
      <w:r w:rsidR="000E1D60">
        <w:rPr>
          <w:rFonts w:hint="eastAsia"/>
        </w:rPr>
        <w:t>》、《在产企业地块风险筛查与风险分级技术规定》、</w:t>
      </w:r>
      <w:r w:rsidR="00191604">
        <w:rPr>
          <w:rFonts w:hint="eastAsia"/>
        </w:rPr>
        <w:t>《地下水污染防治分区划</w:t>
      </w:r>
      <w:r w:rsidR="00191604">
        <w:rPr>
          <w:rFonts w:hint="eastAsia"/>
        </w:rPr>
        <w:lastRenderedPageBreak/>
        <w:t>分工作指南》、</w:t>
      </w:r>
      <w:r w:rsidR="005264D1">
        <w:rPr>
          <w:rFonts w:hint="eastAsia"/>
        </w:rPr>
        <w:t>《地下水</w:t>
      </w:r>
      <w:r w:rsidR="000E1D60">
        <w:rPr>
          <w:rFonts w:hint="eastAsia"/>
        </w:rPr>
        <w:t>污染防治重点区划定技术指南</w:t>
      </w:r>
      <w:r w:rsidR="005264D1">
        <w:rPr>
          <w:rFonts w:hint="eastAsia"/>
        </w:rPr>
        <w:t>》</w:t>
      </w:r>
      <w:r w:rsidR="000E1D60">
        <w:rPr>
          <w:rFonts w:hint="eastAsia"/>
        </w:rPr>
        <w:t>、</w:t>
      </w:r>
      <w:r w:rsidR="00F5069A">
        <w:rPr>
          <w:rFonts w:hint="eastAsia"/>
        </w:rPr>
        <w:t>《</w:t>
      </w:r>
      <w:r w:rsidR="00F63980">
        <w:rPr>
          <w:rFonts w:hint="eastAsia"/>
        </w:rPr>
        <w:t>污染场地修复技术技术应用指南</w:t>
      </w:r>
      <w:r w:rsidR="00F5069A">
        <w:rPr>
          <w:rFonts w:hint="eastAsia"/>
        </w:rPr>
        <w:t>》</w:t>
      </w:r>
      <w:r w:rsidRPr="004F50CE">
        <w:rPr>
          <w:rFonts w:hint="eastAsia"/>
        </w:rPr>
        <w:t>等一系列</w:t>
      </w:r>
      <w:r w:rsidR="00F5069A">
        <w:rPr>
          <w:rFonts w:hint="eastAsia"/>
        </w:rPr>
        <w:t>技术规范与</w:t>
      </w:r>
      <w:r w:rsidRPr="004F50CE">
        <w:rPr>
          <w:rFonts w:hint="eastAsia"/>
        </w:rPr>
        <w:t>标准形成了紧密的互补与协同关系，共同构成了一个从风险识别</w:t>
      </w:r>
      <w:r w:rsidR="00F5069A">
        <w:rPr>
          <w:rFonts w:hint="eastAsia"/>
        </w:rPr>
        <w:t>到</w:t>
      </w:r>
      <w:r w:rsidRPr="004F50CE">
        <w:rPr>
          <w:rFonts w:hint="eastAsia"/>
        </w:rPr>
        <w:t>分区再到修复技术选择的完整、连贯的技术标准体系。</w:t>
      </w:r>
    </w:p>
    <w:p w14:paraId="59727E21" w14:textId="32E15E18" w:rsidR="004F50CE" w:rsidRDefault="004F50CE" w:rsidP="00ED08DD">
      <w:pPr>
        <w:snapToGrid w:val="0"/>
        <w:ind w:firstLine="560"/>
      </w:pPr>
      <w:r w:rsidRPr="004F50CE">
        <w:rPr>
          <w:rFonts w:hint="eastAsia"/>
        </w:rPr>
        <w:t>综上所述，本</w:t>
      </w:r>
      <w:r>
        <w:rPr>
          <w:rFonts w:hint="eastAsia"/>
        </w:rPr>
        <w:t>标准</w:t>
      </w:r>
      <w:r w:rsidRPr="004F50CE">
        <w:rPr>
          <w:rFonts w:hint="eastAsia"/>
        </w:rPr>
        <w:t>在管理对象上直面</w:t>
      </w:r>
      <w:r>
        <w:rPr>
          <w:rFonts w:hint="eastAsia"/>
        </w:rPr>
        <w:t>“</w:t>
      </w:r>
      <w:r w:rsidRPr="004F50CE">
        <w:rPr>
          <w:rFonts w:hint="eastAsia"/>
        </w:rPr>
        <w:t>工业集聚区土壤</w:t>
      </w:r>
      <w:r w:rsidRPr="004F50CE">
        <w:rPr>
          <w:rFonts w:hint="eastAsia"/>
        </w:rPr>
        <w:t>-</w:t>
      </w:r>
      <w:r w:rsidRPr="004F50CE">
        <w:rPr>
          <w:rFonts w:hint="eastAsia"/>
        </w:rPr>
        <w:t>地下水复合污染</w:t>
      </w:r>
      <w:r>
        <w:rPr>
          <w:rFonts w:hint="eastAsia"/>
        </w:rPr>
        <w:t>”</w:t>
      </w:r>
      <w:r w:rsidRPr="004F50CE">
        <w:rPr>
          <w:rFonts w:hint="eastAsia"/>
        </w:rPr>
        <w:t>这一系统性环境问题，在技术方法上实现了</w:t>
      </w:r>
      <w:r w:rsidR="006D75E6">
        <w:rPr>
          <w:rFonts w:hint="eastAsia"/>
        </w:rPr>
        <w:t>半</w:t>
      </w:r>
      <w:r w:rsidRPr="004F50CE">
        <w:rPr>
          <w:rFonts w:hint="eastAsia"/>
        </w:rPr>
        <w:t>定量评价模型与空间信息技术的创新性融合，在最终应用上突出了“</w:t>
      </w:r>
      <w:r w:rsidR="008657C1">
        <w:rPr>
          <w:rFonts w:hint="eastAsia"/>
        </w:rPr>
        <w:t>风险预防</w:t>
      </w:r>
      <w:r w:rsidRPr="004F50CE">
        <w:rPr>
          <w:rFonts w:hint="eastAsia"/>
        </w:rPr>
        <w:t>区、</w:t>
      </w:r>
      <w:r w:rsidR="008657C1">
        <w:rPr>
          <w:rFonts w:hint="eastAsia"/>
        </w:rPr>
        <w:t>一般管控</w:t>
      </w:r>
      <w:r w:rsidRPr="004F50CE">
        <w:rPr>
          <w:rFonts w:hint="eastAsia"/>
        </w:rPr>
        <w:t>区、</w:t>
      </w:r>
      <w:r w:rsidR="008657C1">
        <w:rPr>
          <w:rFonts w:hint="eastAsia"/>
        </w:rPr>
        <w:t>重点管控</w:t>
      </w:r>
      <w:r w:rsidRPr="004F50CE">
        <w:rPr>
          <w:rFonts w:hint="eastAsia"/>
        </w:rPr>
        <w:t>区”三</w:t>
      </w:r>
      <w:r w:rsidR="003266F7">
        <w:rPr>
          <w:rFonts w:hint="eastAsia"/>
        </w:rPr>
        <w:t>类</w:t>
      </w:r>
      <w:r w:rsidRPr="004F50CE">
        <w:rPr>
          <w:rFonts w:hint="eastAsia"/>
        </w:rPr>
        <w:t>区的精细化、差异化管控，在国际同类标准中凸显了其先进性和实用价值</w:t>
      </w:r>
      <w:r w:rsidR="000A3070">
        <w:rPr>
          <w:rFonts w:hint="eastAsia"/>
        </w:rPr>
        <w:t>。</w:t>
      </w:r>
    </w:p>
    <w:p w14:paraId="185DA22A" w14:textId="77777777" w:rsidR="00190C48" w:rsidRDefault="001C30E7">
      <w:pPr>
        <w:pStyle w:val="1"/>
      </w:pPr>
      <w:bookmarkStart w:id="8" w:name="_Toc212038024"/>
      <w:r>
        <w:rPr>
          <w:rFonts w:hint="eastAsia"/>
        </w:rPr>
        <w:t>五、以国际标准为基础的起草情况，以及是否合规引用或者采用国际国外标准，并说明未采用国际标准的原因</w:t>
      </w:r>
      <w:bookmarkEnd w:id="8"/>
    </w:p>
    <w:p w14:paraId="5B22E77E" w14:textId="77777777" w:rsidR="00190C48" w:rsidRDefault="001C30E7" w:rsidP="00ED08DD">
      <w:pPr>
        <w:snapToGrid w:val="0"/>
        <w:ind w:firstLine="560"/>
      </w:pPr>
      <w:r>
        <w:rPr>
          <w:rFonts w:hint="eastAsia"/>
        </w:rPr>
        <w:t>本标准未直接采用国际标准，主要因其技术框架和指标设计针对我国工业集聚区污染特征与管理需求，聚焦于多源数据融合下的分区分类分级体系，而国际标准通常更侧重于场地尺度的通用风险评估或修复技术，在工业集聚区层面缺乏可直接对应的系统性分级管控规范。</w:t>
      </w:r>
    </w:p>
    <w:p w14:paraId="6517BC7D" w14:textId="77777777" w:rsidR="00190C48" w:rsidRDefault="001C30E7" w:rsidP="00A6211B">
      <w:pPr>
        <w:pStyle w:val="1"/>
      </w:pPr>
      <w:bookmarkStart w:id="9" w:name="_Toc212038025"/>
      <w:r>
        <w:rPr>
          <w:rFonts w:hint="eastAsia"/>
        </w:rPr>
        <w:t>六、与有关法律、行政法规及相关标准的关系</w:t>
      </w:r>
      <w:bookmarkEnd w:id="9"/>
    </w:p>
    <w:p w14:paraId="5AA700F1" w14:textId="7177F659" w:rsidR="00A6211B" w:rsidRDefault="00A6211B" w:rsidP="00ED08DD">
      <w:pPr>
        <w:snapToGrid w:val="0"/>
        <w:ind w:firstLine="560"/>
      </w:pPr>
      <w:r w:rsidRPr="00A6211B">
        <w:rPr>
          <w:rFonts w:hint="eastAsia"/>
        </w:rPr>
        <w:t>本</w:t>
      </w:r>
      <w:r>
        <w:rPr>
          <w:rFonts w:hint="eastAsia"/>
        </w:rPr>
        <w:t>标准</w:t>
      </w:r>
      <w:r w:rsidRPr="00A6211B">
        <w:rPr>
          <w:rFonts w:hint="eastAsia"/>
        </w:rPr>
        <w:t>与我国现行的土壤</w:t>
      </w:r>
      <w:r w:rsidRPr="00A6211B">
        <w:rPr>
          <w:rFonts w:hint="eastAsia"/>
        </w:rPr>
        <w:t>-</w:t>
      </w:r>
      <w:r w:rsidRPr="00A6211B">
        <w:rPr>
          <w:rFonts w:hint="eastAsia"/>
        </w:rPr>
        <w:t>地下水环境保护法律法规及标准体系具有紧密的衔接性和高度的协调性。在法律法规层级，本</w:t>
      </w:r>
      <w:r>
        <w:rPr>
          <w:rFonts w:hint="eastAsia"/>
        </w:rPr>
        <w:t>指南</w:t>
      </w:r>
      <w:r w:rsidRPr="00A6211B">
        <w:rPr>
          <w:rFonts w:hint="eastAsia"/>
        </w:rPr>
        <w:t>严格遵循《中华人民共和国土壤污染防治法》的核心原则与具体制度要求，特别是与该法第十七条规定的</w:t>
      </w:r>
      <w:r>
        <w:rPr>
          <w:rFonts w:hint="eastAsia"/>
        </w:rPr>
        <w:t>“</w:t>
      </w:r>
      <w:r w:rsidRPr="00A6211B">
        <w:rPr>
          <w:rFonts w:hint="eastAsia"/>
        </w:rPr>
        <w:t>建设用地地块重点监测范围</w:t>
      </w:r>
      <w:r>
        <w:rPr>
          <w:rFonts w:hint="eastAsia"/>
        </w:rPr>
        <w:t>”</w:t>
      </w:r>
      <w:r w:rsidRPr="00A6211B">
        <w:rPr>
          <w:rFonts w:hint="eastAsia"/>
        </w:rPr>
        <w:t>、第二十一条明确的</w:t>
      </w:r>
      <w:r>
        <w:rPr>
          <w:rFonts w:hint="eastAsia"/>
        </w:rPr>
        <w:t>“</w:t>
      </w:r>
      <w:r w:rsidRPr="00A6211B">
        <w:rPr>
          <w:rFonts w:hint="eastAsia"/>
        </w:rPr>
        <w:t>土壤污染重点监管单位应建立土壤污染隐患排查制度并实施自行监测</w:t>
      </w:r>
      <w:r>
        <w:rPr>
          <w:rFonts w:hint="eastAsia"/>
        </w:rPr>
        <w:t>”</w:t>
      </w:r>
      <w:r w:rsidRPr="00A6211B">
        <w:rPr>
          <w:rFonts w:hint="eastAsia"/>
        </w:rPr>
        <w:t>的法定义务相呼应，将法律中对污染源的监管要求转化为本</w:t>
      </w:r>
      <w:r>
        <w:rPr>
          <w:rFonts w:hint="eastAsia"/>
        </w:rPr>
        <w:t>标准</w:t>
      </w:r>
      <w:r w:rsidRPr="00A6211B">
        <w:rPr>
          <w:rFonts w:hint="eastAsia"/>
        </w:rPr>
        <w:t>中污染源荷载指数（</w:t>
      </w:r>
      <w:r w:rsidRPr="00A6211B">
        <w:rPr>
          <w:rFonts w:hint="eastAsia"/>
        </w:rPr>
        <w:t>P</w:t>
      </w:r>
      <w:r w:rsidRPr="00A6211B">
        <w:rPr>
          <w:rFonts w:hint="eastAsia"/>
        </w:rPr>
        <w:t>）的具体评价指标。同时，</w:t>
      </w:r>
      <w:r>
        <w:rPr>
          <w:rFonts w:hint="eastAsia"/>
        </w:rPr>
        <w:t>本标</w:t>
      </w:r>
      <w:r>
        <w:rPr>
          <w:rFonts w:hint="eastAsia"/>
        </w:rPr>
        <w:lastRenderedPageBreak/>
        <w:t>准</w:t>
      </w:r>
      <w:r w:rsidRPr="00A6211B">
        <w:rPr>
          <w:rFonts w:hint="eastAsia"/>
        </w:rPr>
        <w:t>也与《地下水污染防治实施方案》（环土壤〔</w:t>
      </w:r>
      <w:r w:rsidRPr="00A6211B">
        <w:rPr>
          <w:rFonts w:hint="eastAsia"/>
        </w:rPr>
        <w:t>2019</w:t>
      </w:r>
      <w:r w:rsidRPr="00A6211B">
        <w:rPr>
          <w:rFonts w:hint="eastAsia"/>
        </w:rPr>
        <w:t>〕</w:t>
      </w:r>
      <w:r w:rsidRPr="00A6211B">
        <w:rPr>
          <w:rFonts w:hint="eastAsia"/>
        </w:rPr>
        <w:t>25</w:t>
      </w:r>
      <w:r w:rsidRPr="00A6211B">
        <w:rPr>
          <w:rFonts w:hint="eastAsia"/>
        </w:rPr>
        <w:t>号）及其附件《地下水污染防治分区划分技术要求》中提出的建立地下水污染防治分区体系（保护区、防控区、治理区）的思路一脉相承，并在此基础上，结合工业集聚区的特点，进一步细化和发展为“</w:t>
      </w:r>
      <w:r w:rsidR="00DB6132">
        <w:rPr>
          <w:rFonts w:hint="eastAsia"/>
        </w:rPr>
        <w:t>风险预防</w:t>
      </w:r>
      <w:r w:rsidRPr="00A6211B">
        <w:rPr>
          <w:rFonts w:hint="eastAsia"/>
        </w:rPr>
        <w:t>区、</w:t>
      </w:r>
      <w:r w:rsidR="00DB6132">
        <w:rPr>
          <w:rFonts w:hint="eastAsia"/>
        </w:rPr>
        <w:t>一般管控</w:t>
      </w:r>
      <w:r w:rsidRPr="00A6211B">
        <w:rPr>
          <w:rFonts w:hint="eastAsia"/>
        </w:rPr>
        <w:t>区、</w:t>
      </w:r>
      <w:r w:rsidR="00DB6132">
        <w:rPr>
          <w:rFonts w:hint="eastAsia"/>
        </w:rPr>
        <w:t>重点管控</w:t>
      </w:r>
      <w:r w:rsidRPr="00A6211B">
        <w:rPr>
          <w:rFonts w:hint="eastAsia"/>
        </w:rPr>
        <w:t>区”的分区管控策略。</w:t>
      </w:r>
    </w:p>
    <w:p w14:paraId="53DC0F37" w14:textId="77777777" w:rsidR="00A6211B" w:rsidRDefault="00A6211B" w:rsidP="00ED08DD">
      <w:pPr>
        <w:snapToGrid w:val="0"/>
        <w:ind w:firstLine="560"/>
      </w:pPr>
      <w:r w:rsidRPr="00A6211B">
        <w:rPr>
          <w:rFonts w:hint="eastAsia"/>
        </w:rPr>
        <w:t>在标准规范层面，本</w:t>
      </w:r>
      <w:r>
        <w:rPr>
          <w:rFonts w:hint="eastAsia"/>
        </w:rPr>
        <w:t>标准</w:t>
      </w:r>
      <w:r w:rsidRPr="00A6211B">
        <w:rPr>
          <w:rFonts w:hint="eastAsia"/>
        </w:rPr>
        <w:t>与《土壤环境质量</w:t>
      </w:r>
      <w:r w:rsidRPr="00A6211B">
        <w:rPr>
          <w:rFonts w:hint="eastAsia"/>
        </w:rPr>
        <w:t xml:space="preserve"> </w:t>
      </w:r>
      <w:r w:rsidRPr="00A6211B">
        <w:rPr>
          <w:rFonts w:hint="eastAsia"/>
        </w:rPr>
        <w:t>建设用地土壤污染风险管控标准》（</w:t>
      </w:r>
      <w:r w:rsidRPr="00A6211B">
        <w:rPr>
          <w:rFonts w:hint="eastAsia"/>
        </w:rPr>
        <w:t>GB 36600</w:t>
      </w:r>
      <w:r w:rsidRPr="00A6211B">
        <w:rPr>
          <w:rFonts w:hint="eastAsia"/>
        </w:rPr>
        <w:t>）、《地下水质量标准》（</w:t>
      </w:r>
      <w:r w:rsidRPr="00A6211B">
        <w:rPr>
          <w:rFonts w:hint="eastAsia"/>
        </w:rPr>
        <w:t>GB/T 14848</w:t>
      </w:r>
      <w:r w:rsidRPr="00A6211B">
        <w:rPr>
          <w:rFonts w:hint="eastAsia"/>
        </w:rPr>
        <w:t>）等强制性国家标准进行了充分对接，将其中的污染物项目及风险管控阈值作为本</w:t>
      </w:r>
      <w:r>
        <w:rPr>
          <w:rFonts w:hint="eastAsia"/>
        </w:rPr>
        <w:t>标准</w:t>
      </w:r>
      <w:r w:rsidRPr="00A6211B">
        <w:rPr>
          <w:rFonts w:hint="eastAsia"/>
        </w:rPr>
        <w:t>中污染状况评价和风险分级的基础依据。此外，本</w:t>
      </w:r>
      <w:r>
        <w:rPr>
          <w:rFonts w:hint="eastAsia"/>
        </w:rPr>
        <w:t>标准</w:t>
      </w:r>
      <w:r w:rsidRPr="00A6211B">
        <w:rPr>
          <w:rFonts w:hint="eastAsia"/>
        </w:rPr>
        <w:t>在技术方法上</w:t>
      </w:r>
      <w:r>
        <w:rPr>
          <w:rFonts w:hint="eastAsia"/>
        </w:rPr>
        <w:t>参考</w:t>
      </w:r>
      <w:r w:rsidRPr="00A6211B">
        <w:rPr>
          <w:rFonts w:hint="eastAsia"/>
        </w:rPr>
        <w:t>了</w:t>
      </w:r>
      <w:r w:rsidRPr="00A6211B">
        <w:rPr>
          <w:rFonts w:hint="eastAsia"/>
        </w:rPr>
        <w:t>HJ 25</w:t>
      </w:r>
      <w:r w:rsidRPr="00A6211B">
        <w:rPr>
          <w:rFonts w:hint="eastAsia"/>
        </w:rPr>
        <w:t>系列（场地环境调查、监测、风险评估技术导则）和</w:t>
      </w:r>
      <w:r w:rsidRPr="00A6211B">
        <w:rPr>
          <w:rFonts w:hint="eastAsia"/>
        </w:rPr>
        <w:t>HJ 164</w:t>
      </w:r>
      <w:r w:rsidRPr="00A6211B">
        <w:rPr>
          <w:rFonts w:hint="eastAsia"/>
        </w:rPr>
        <w:t>（地下水环境监测技术规范）等行业技术导则所规定的成熟方法，确保了调查、监测与风险评估环节的规范性和结果的可比性。</w:t>
      </w:r>
    </w:p>
    <w:p w14:paraId="3C409FE0" w14:textId="599AF891" w:rsidR="00A6211B" w:rsidRDefault="00A6211B" w:rsidP="00ED08DD">
      <w:pPr>
        <w:snapToGrid w:val="0"/>
        <w:ind w:firstLine="560"/>
      </w:pPr>
      <w:r w:rsidRPr="00A6211B">
        <w:rPr>
          <w:rFonts w:hint="eastAsia"/>
        </w:rPr>
        <w:t>综上，本标准是</w:t>
      </w:r>
      <w:r>
        <w:rPr>
          <w:rFonts w:hint="eastAsia"/>
        </w:rPr>
        <w:t>对</w:t>
      </w:r>
      <w:r w:rsidRPr="00A6211B">
        <w:rPr>
          <w:rFonts w:hint="eastAsia"/>
        </w:rPr>
        <w:t>现有</w:t>
      </w:r>
      <w:r>
        <w:rPr>
          <w:rFonts w:hint="eastAsia"/>
        </w:rPr>
        <w:t>土壤</w:t>
      </w:r>
      <w:r>
        <w:rPr>
          <w:rFonts w:hint="eastAsia"/>
        </w:rPr>
        <w:t>-</w:t>
      </w:r>
      <w:r>
        <w:rPr>
          <w:rFonts w:hint="eastAsia"/>
        </w:rPr>
        <w:t>地下水</w:t>
      </w:r>
      <w:r w:rsidRPr="00A6211B">
        <w:rPr>
          <w:rFonts w:hint="eastAsia"/>
        </w:rPr>
        <w:t>环境管理规范体系的重要补充，旨在将现行法律法规及标准中原则性、通用性的规定，应用于工业集聚区土壤</w:t>
      </w:r>
      <w:r w:rsidRPr="00A6211B">
        <w:rPr>
          <w:rFonts w:hint="eastAsia"/>
        </w:rPr>
        <w:t>-</w:t>
      </w:r>
      <w:r w:rsidRPr="00A6211B">
        <w:rPr>
          <w:rFonts w:hint="eastAsia"/>
        </w:rPr>
        <w:t>地下水污染分区分类精准管控实践，并通过系统化的整合与技术创新，为实现差异化、精细化的环境管理提供关键的技术支撑。</w:t>
      </w:r>
    </w:p>
    <w:p w14:paraId="164227A0" w14:textId="77777777" w:rsidR="00190C48" w:rsidRDefault="001C30E7">
      <w:pPr>
        <w:pStyle w:val="1"/>
      </w:pPr>
      <w:bookmarkStart w:id="10" w:name="_Toc212038026"/>
      <w:r>
        <w:rPr>
          <w:rFonts w:hint="eastAsia"/>
        </w:rPr>
        <w:t>七、重大分歧意见的处理经过和依据</w:t>
      </w:r>
      <w:bookmarkEnd w:id="10"/>
    </w:p>
    <w:p w14:paraId="02F6D109" w14:textId="77777777" w:rsidR="00190C48" w:rsidRDefault="001C30E7" w:rsidP="003266F7">
      <w:pPr>
        <w:snapToGrid w:val="0"/>
        <w:ind w:firstLine="560"/>
      </w:pPr>
      <w:r>
        <w:rPr>
          <w:rFonts w:hint="eastAsia"/>
        </w:rPr>
        <w:t>无。</w:t>
      </w:r>
    </w:p>
    <w:p w14:paraId="51BE0AAE" w14:textId="77777777" w:rsidR="00190C48" w:rsidRDefault="001C30E7">
      <w:pPr>
        <w:pStyle w:val="1"/>
      </w:pPr>
      <w:bookmarkStart w:id="11" w:name="_Toc212038027"/>
      <w:r>
        <w:rPr>
          <w:rFonts w:hint="eastAsia"/>
        </w:rPr>
        <w:t>八、涉及专利的有关说明</w:t>
      </w:r>
      <w:bookmarkEnd w:id="11"/>
    </w:p>
    <w:p w14:paraId="02AC88D6" w14:textId="3C535D59" w:rsidR="00190C48" w:rsidRDefault="00B853BE" w:rsidP="003266F7">
      <w:pPr>
        <w:snapToGrid w:val="0"/>
        <w:ind w:firstLine="560"/>
      </w:pPr>
      <w:r>
        <w:rPr>
          <w:rFonts w:hint="eastAsia"/>
        </w:rPr>
        <w:t>本标准已开发</w:t>
      </w:r>
      <w:r w:rsidR="003266F7">
        <w:rPr>
          <w:rFonts w:hint="eastAsia"/>
        </w:rPr>
        <w:t>了</w:t>
      </w:r>
      <w:r>
        <w:rPr>
          <w:rFonts w:hint="eastAsia"/>
        </w:rPr>
        <w:t>配套的</w:t>
      </w:r>
      <w:r w:rsidRPr="00B853BE">
        <w:rPr>
          <w:rFonts w:hint="eastAsia"/>
        </w:rPr>
        <w:t>工业集聚区土壤地下水污染分区分类评估系统</w:t>
      </w:r>
      <w:r w:rsidR="003266F7">
        <w:rPr>
          <w:rFonts w:hint="eastAsia"/>
        </w:rPr>
        <w:t>软件</w:t>
      </w:r>
      <w:r w:rsidR="00877EAD">
        <w:rPr>
          <w:rFonts w:hint="eastAsia"/>
        </w:rPr>
        <w:t>，</w:t>
      </w:r>
      <w:r w:rsidR="00B65CBD" w:rsidRPr="00B65CBD">
        <w:rPr>
          <w:rFonts w:hint="eastAsia"/>
        </w:rPr>
        <w:t>并完成了软件著作权登记（</w:t>
      </w:r>
      <w:r w:rsidR="00B65CBD" w:rsidRPr="00B65CBD">
        <w:rPr>
          <w:rFonts w:hint="eastAsia"/>
        </w:rPr>
        <w:t>2025SR1980021</w:t>
      </w:r>
      <w:r w:rsidR="00B65CBD" w:rsidRPr="00B65CBD">
        <w:rPr>
          <w:rFonts w:hint="eastAsia"/>
        </w:rPr>
        <w:t>）。</w:t>
      </w:r>
    </w:p>
    <w:p w14:paraId="300A3922" w14:textId="77777777" w:rsidR="00190C48" w:rsidRDefault="001C30E7">
      <w:pPr>
        <w:pStyle w:val="1"/>
      </w:pPr>
      <w:bookmarkStart w:id="12" w:name="_Toc212038028"/>
      <w:r>
        <w:rPr>
          <w:rFonts w:hint="eastAsia"/>
        </w:rPr>
        <w:lastRenderedPageBreak/>
        <w:t>九、实施标准的要求，以及组织措施、技术措施、过渡期和实施日期的建议等措施建议</w:t>
      </w:r>
      <w:bookmarkEnd w:id="12"/>
    </w:p>
    <w:p w14:paraId="133E9A75" w14:textId="293EC685" w:rsidR="00190C48" w:rsidRDefault="001C30E7" w:rsidP="003266F7">
      <w:pPr>
        <w:snapToGrid w:val="0"/>
        <w:ind w:firstLine="560"/>
      </w:pPr>
      <w:r>
        <w:rPr>
          <w:rFonts w:hint="eastAsia"/>
        </w:rPr>
        <w:t>本标准实施需依托工业集聚区管理主体及生态环境主管部门协同推进，建议建立多部门联动工作机制，明确责任分工，组织开展技术培训与宣贯，确保各相关方准确理解分区分类方法。在技术措施上，应依据标准流程系统收集资料、科学划分评价单元，并综合运用</w:t>
      </w:r>
      <w:r>
        <w:rPr>
          <w:rFonts w:hint="eastAsia"/>
        </w:rPr>
        <w:t>GIS</w:t>
      </w:r>
      <w:r>
        <w:rPr>
          <w:rFonts w:hint="eastAsia"/>
        </w:rPr>
        <w:t>空间分析与环境监测技术完成风险评价与分区。建议设置不少于</w:t>
      </w:r>
      <w:r>
        <w:rPr>
          <w:rFonts w:hint="eastAsia"/>
        </w:rPr>
        <w:t>6</w:t>
      </w:r>
      <w:r>
        <w:rPr>
          <w:rFonts w:hint="eastAsia"/>
        </w:rPr>
        <w:t>个月的过渡期，用于试点应用与方法优化，标准正式实施后，新建及已建集聚区应分阶段、分批次开展土壤</w:t>
      </w:r>
      <w:r>
        <w:rPr>
          <w:rFonts w:hint="eastAsia"/>
        </w:rPr>
        <w:t>-</w:t>
      </w:r>
      <w:r>
        <w:rPr>
          <w:rFonts w:hint="eastAsia"/>
        </w:rPr>
        <w:t>地下水污染状况评估与分区管控方案制定，并纳入日常环境监管体系。</w:t>
      </w:r>
    </w:p>
    <w:p w14:paraId="63B84176" w14:textId="77777777" w:rsidR="00190C48" w:rsidRDefault="001C30E7">
      <w:pPr>
        <w:pStyle w:val="1"/>
      </w:pPr>
      <w:bookmarkStart w:id="13" w:name="_Toc212038029"/>
      <w:r>
        <w:rPr>
          <w:rFonts w:hint="eastAsia"/>
        </w:rPr>
        <w:t>十、其他应予说明的事项</w:t>
      </w:r>
      <w:bookmarkEnd w:id="13"/>
    </w:p>
    <w:p w14:paraId="2EB4263B" w14:textId="5B31F21D" w:rsidR="00190C48" w:rsidRDefault="001C30E7" w:rsidP="003266F7">
      <w:pPr>
        <w:snapToGrid w:val="0"/>
        <w:ind w:firstLine="560"/>
      </w:pPr>
      <w:r>
        <w:rPr>
          <w:rFonts w:hint="eastAsia"/>
        </w:rPr>
        <w:t>无。</w:t>
      </w:r>
    </w:p>
    <w:p w14:paraId="262239D3" w14:textId="77777777" w:rsidR="00ED4623" w:rsidRDefault="00ED4623" w:rsidP="003266F7">
      <w:pPr>
        <w:snapToGrid w:val="0"/>
        <w:ind w:firstLine="560"/>
      </w:pPr>
    </w:p>
    <w:p w14:paraId="502B8185" w14:textId="77777777" w:rsidR="00190C48" w:rsidRPr="00ED4623" w:rsidRDefault="005429CE" w:rsidP="00ED4623">
      <w:pPr>
        <w:spacing w:beforeLines="50" w:before="156"/>
        <w:ind w:firstLineChars="0" w:firstLine="0"/>
        <w:rPr>
          <w:rFonts w:eastAsia="黑体" w:cstheme="majorBidi"/>
          <w:b/>
          <w:sz w:val="32"/>
          <w:szCs w:val="48"/>
        </w:rPr>
      </w:pPr>
      <w:bookmarkStart w:id="14" w:name="_Toc211960954"/>
      <w:r w:rsidRPr="00ED4623">
        <w:rPr>
          <w:rFonts w:eastAsia="黑体" w:cstheme="majorBidi" w:hint="eastAsia"/>
          <w:b/>
          <w:sz w:val="32"/>
          <w:szCs w:val="48"/>
        </w:rPr>
        <w:t>参考文献</w:t>
      </w:r>
      <w:bookmarkEnd w:id="14"/>
    </w:p>
    <w:p w14:paraId="3014AE39" w14:textId="77777777" w:rsidR="005429CE" w:rsidRPr="00ED4623" w:rsidRDefault="005429CE" w:rsidP="00ED4623">
      <w:pPr>
        <w:snapToGrid w:val="0"/>
        <w:ind w:firstLineChars="0" w:firstLine="0"/>
        <w:rPr>
          <w:szCs w:val="24"/>
        </w:rPr>
      </w:pPr>
      <w:r w:rsidRPr="00ED4623">
        <w:rPr>
          <w:rFonts w:hint="eastAsia"/>
          <w:szCs w:val="24"/>
        </w:rPr>
        <w:t>[1]</w:t>
      </w:r>
      <w:r w:rsidRPr="00ED4623">
        <w:rPr>
          <w:rFonts w:hint="eastAsia"/>
          <w:szCs w:val="24"/>
        </w:rPr>
        <w:tab/>
      </w:r>
      <w:r w:rsidRPr="00ED4623">
        <w:rPr>
          <w:rFonts w:hint="eastAsia"/>
          <w:szCs w:val="24"/>
        </w:rPr>
        <w:t>席北斗</w:t>
      </w:r>
      <w:r w:rsidRPr="00ED4623">
        <w:rPr>
          <w:rFonts w:hint="eastAsia"/>
          <w:szCs w:val="24"/>
        </w:rPr>
        <w:t xml:space="preserve">, </w:t>
      </w:r>
      <w:r w:rsidRPr="00ED4623">
        <w:rPr>
          <w:rFonts w:hint="eastAsia"/>
          <w:szCs w:val="24"/>
        </w:rPr>
        <w:t>李娟</w:t>
      </w:r>
      <w:r w:rsidRPr="00ED4623">
        <w:rPr>
          <w:rFonts w:hint="eastAsia"/>
          <w:szCs w:val="24"/>
        </w:rPr>
        <w:t xml:space="preserve">, </w:t>
      </w:r>
      <w:r w:rsidRPr="00ED4623">
        <w:rPr>
          <w:rFonts w:hint="eastAsia"/>
          <w:szCs w:val="24"/>
        </w:rPr>
        <w:t>汪洋</w:t>
      </w:r>
      <w:r w:rsidRPr="00ED4623">
        <w:rPr>
          <w:rFonts w:hint="eastAsia"/>
          <w:szCs w:val="24"/>
        </w:rPr>
        <w:t xml:space="preserve">, </w:t>
      </w:r>
      <w:r w:rsidRPr="00ED4623">
        <w:rPr>
          <w:rFonts w:hint="eastAsia"/>
          <w:szCs w:val="24"/>
        </w:rPr>
        <w:t>等</w:t>
      </w:r>
      <w:r w:rsidRPr="00ED4623">
        <w:rPr>
          <w:rFonts w:hint="eastAsia"/>
          <w:szCs w:val="24"/>
        </w:rPr>
        <w:t xml:space="preserve">. </w:t>
      </w:r>
      <w:r w:rsidRPr="00ED4623">
        <w:rPr>
          <w:rFonts w:hint="eastAsia"/>
          <w:szCs w:val="24"/>
        </w:rPr>
        <w:t>京津冀地区地下水污染防治现状、问题及科技发展对策</w:t>
      </w:r>
      <w:r w:rsidRPr="00ED4623">
        <w:rPr>
          <w:rFonts w:hint="eastAsia"/>
          <w:szCs w:val="24"/>
        </w:rPr>
        <w:t xml:space="preserve">[J]. </w:t>
      </w:r>
      <w:r w:rsidRPr="00ED4623">
        <w:rPr>
          <w:rFonts w:hint="eastAsia"/>
          <w:szCs w:val="24"/>
        </w:rPr>
        <w:t>环境科学研究</w:t>
      </w:r>
      <w:r w:rsidRPr="00ED4623">
        <w:rPr>
          <w:rFonts w:hint="eastAsia"/>
          <w:szCs w:val="24"/>
        </w:rPr>
        <w:t>, 2019, 32(1): 1-9.</w:t>
      </w:r>
    </w:p>
    <w:p w14:paraId="246C918F" w14:textId="77777777" w:rsidR="008408F0" w:rsidRPr="00ED4623" w:rsidRDefault="008408F0" w:rsidP="00ED4623">
      <w:pPr>
        <w:snapToGrid w:val="0"/>
        <w:ind w:firstLineChars="0" w:firstLine="0"/>
        <w:rPr>
          <w:szCs w:val="24"/>
        </w:rPr>
      </w:pPr>
      <w:r w:rsidRPr="00ED4623">
        <w:rPr>
          <w:szCs w:val="24"/>
        </w:rPr>
        <w:t>[</w:t>
      </w:r>
      <w:r w:rsidRPr="00ED4623">
        <w:rPr>
          <w:rFonts w:hint="eastAsia"/>
          <w:szCs w:val="24"/>
        </w:rPr>
        <w:t>2</w:t>
      </w:r>
      <w:r w:rsidRPr="00ED4623">
        <w:rPr>
          <w:szCs w:val="24"/>
        </w:rPr>
        <w:t>]</w:t>
      </w:r>
      <w:r w:rsidRPr="00ED4623">
        <w:rPr>
          <w:szCs w:val="24"/>
        </w:rPr>
        <w:tab/>
        <w:t>Lourenço R W, Landim P M B, Rosa A H, et al. Mapping soil pollution by spatial analysis and fuzzy classification[J]. Environmental Earth Sciences, 2010, 60(3): 495-504.</w:t>
      </w:r>
    </w:p>
    <w:p w14:paraId="7418CE0C" w14:textId="77777777" w:rsidR="00BA3606" w:rsidRPr="00ED4623" w:rsidRDefault="00BA3606" w:rsidP="00ED4623">
      <w:pPr>
        <w:snapToGrid w:val="0"/>
        <w:ind w:firstLineChars="0" w:firstLine="0"/>
        <w:rPr>
          <w:szCs w:val="24"/>
        </w:rPr>
      </w:pPr>
      <w:r w:rsidRPr="00ED4623">
        <w:rPr>
          <w:szCs w:val="24"/>
        </w:rPr>
        <w:t>[</w:t>
      </w:r>
      <w:r w:rsidRPr="00ED4623">
        <w:rPr>
          <w:rFonts w:hint="eastAsia"/>
          <w:szCs w:val="24"/>
        </w:rPr>
        <w:t>3</w:t>
      </w:r>
      <w:r w:rsidRPr="00ED4623">
        <w:rPr>
          <w:szCs w:val="24"/>
        </w:rPr>
        <w:t>]</w:t>
      </w:r>
      <w:r w:rsidRPr="00ED4623">
        <w:rPr>
          <w:szCs w:val="24"/>
        </w:rPr>
        <w:tab/>
        <w:t>Cheng Y, Zhou K, Wang J, et al. Regional metal pollution risk assessment based on a long short-term memory model: A case study of the South Altai Mountain mining area, China[J]. Journal of Cleaner Production, 2022, 379: 134755.</w:t>
      </w:r>
    </w:p>
    <w:p w14:paraId="76A59DEA" w14:textId="77777777" w:rsidR="00107721" w:rsidRPr="00ED4623" w:rsidRDefault="00107721" w:rsidP="00ED4623">
      <w:pPr>
        <w:snapToGrid w:val="0"/>
        <w:ind w:firstLineChars="0" w:firstLine="0"/>
        <w:rPr>
          <w:szCs w:val="24"/>
        </w:rPr>
      </w:pPr>
      <w:r w:rsidRPr="00ED4623">
        <w:rPr>
          <w:rFonts w:hint="eastAsia"/>
          <w:szCs w:val="24"/>
        </w:rPr>
        <w:t>[4]</w:t>
      </w:r>
      <w:r w:rsidRPr="00ED4623">
        <w:rPr>
          <w:rFonts w:hint="eastAsia"/>
          <w:szCs w:val="24"/>
        </w:rPr>
        <w:tab/>
      </w:r>
      <w:r w:rsidRPr="00ED4623">
        <w:rPr>
          <w:rFonts w:hint="eastAsia"/>
          <w:szCs w:val="24"/>
        </w:rPr>
        <w:t>邰托娅</w:t>
      </w:r>
      <w:r w:rsidRPr="00ED4623">
        <w:rPr>
          <w:rFonts w:hint="eastAsia"/>
          <w:szCs w:val="24"/>
        </w:rPr>
        <w:t xml:space="preserve">, </w:t>
      </w:r>
      <w:r w:rsidRPr="00ED4623">
        <w:rPr>
          <w:rFonts w:hint="eastAsia"/>
          <w:szCs w:val="24"/>
        </w:rPr>
        <w:t>王金生</w:t>
      </w:r>
      <w:r w:rsidRPr="00ED4623">
        <w:rPr>
          <w:rFonts w:hint="eastAsia"/>
          <w:szCs w:val="24"/>
        </w:rPr>
        <w:t xml:space="preserve">, </w:t>
      </w:r>
      <w:r w:rsidRPr="00ED4623">
        <w:rPr>
          <w:rFonts w:hint="eastAsia"/>
          <w:szCs w:val="24"/>
        </w:rPr>
        <w:t>王业耀</w:t>
      </w:r>
      <w:r w:rsidRPr="00ED4623">
        <w:rPr>
          <w:rFonts w:hint="eastAsia"/>
          <w:szCs w:val="24"/>
        </w:rPr>
        <w:t xml:space="preserve">, </w:t>
      </w:r>
      <w:r w:rsidRPr="00ED4623">
        <w:rPr>
          <w:rFonts w:hint="eastAsia"/>
          <w:szCs w:val="24"/>
        </w:rPr>
        <w:t>等</w:t>
      </w:r>
      <w:r w:rsidRPr="00ED4623">
        <w:rPr>
          <w:rFonts w:hint="eastAsia"/>
          <w:szCs w:val="24"/>
        </w:rPr>
        <w:t xml:space="preserve">. </w:t>
      </w:r>
      <w:r w:rsidRPr="00ED4623">
        <w:rPr>
          <w:rFonts w:hint="eastAsia"/>
          <w:szCs w:val="24"/>
        </w:rPr>
        <w:t>我国地下水污染风险评价方法研究</w:t>
      </w:r>
      <w:r w:rsidRPr="00ED4623">
        <w:rPr>
          <w:rFonts w:hint="eastAsia"/>
          <w:szCs w:val="24"/>
        </w:rPr>
        <w:lastRenderedPageBreak/>
        <w:t>进展</w:t>
      </w:r>
      <w:r w:rsidRPr="00ED4623">
        <w:rPr>
          <w:rFonts w:hint="eastAsia"/>
          <w:szCs w:val="24"/>
        </w:rPr>
        <w:t xml:space="preserve">[J]. </w:t>
      </w:r>
      <w:r w:rsidRPr="00ED4623">
        <w:rPr>
          <w:rFonts w:hint="eastAsia"/>
          <w:szCs w:val="24"/>
        </w:rPr>
        <w:t>北京师范大学学报（自然科学版）</w:t>
      </w:r>
      <w:r w:rsidRPr="00ED4623">
        <w:rPr>
          <w:rFonts w:hint="eastAsia"/>
          <w:szCs w:val="24"/>
        </w:rPr>
        <w:t>, 2012, 48(6): 648-653.</w:t>
      </w:r>
    </w:p>
    <w:p w14:paraId="4AA80814" w14:textId="77777777" w:rsidR="00DB65A4" w:rsidRPr="00ED4623" w:rsidRDefault="00DB65A4" w:rsidP="00ED4623">
      <w:pPr>
        <w:snapToGrid w:val="0"/>
        <w:ind w:firstLineChars="0" w:firstLine="0"/>
        <w:rPr>
          <w:szCs w:val="24"/>
        </w:rPr>
      </w:pPr>
      <w:r w:rsidRPr="00ED4623">
        <w:rPr>
          <w:szCs w:val="24"/>
        </w:rPr>
        <w:t>[</w:t>
      </w:r>
      <w:r w:rsidRPr="00ED4623">
        <w:rPr>
          <w:rFonts w:hint="eastAsia"/>
          <w:szCs w:val="24"/>
        </w:rPr>
        <w:t>5</w:t>
      </w:r>
      <w:r w:rsidRPr="00ED4623">
        <w:rPr>
          <w:szCs w:val="24"/>
        </w:rPr>
        <w:t>]</w:t>
      </w:r>
      <w:r w:rsidRPr="00ED4623">
        <w:rPr>
          <w:szCs w:val="24"/>
        </w:rPr>
        <w:tab/>
        <w:t>Zhang J, Zhai Y, Xue P, et al. A GIS-based LVF model for semiquantitative assessment of groundwater pollution risk: A case study in Shenyang, NE China[J]. Human and Ecological Risk Assessment: An International Journal, 2017, 23(2): 276-298.</w:t>
      </w:r>
    </w:p>
    <w:p w14:paraId="2B4ABAAA" w14:textId="77777777" w:rsidR="00DB65A4" w:rsidRPr="00ED4623" w:rsidRDefault="00DB65A4" w:rsidP="00ED4623">
      <w:pPr>
        <w:snapToGrid w:val="0"/>
        <w:ind w:firstLineChars="0" w:firstLine="0"/>
        <w:rPr>
          <w:szCs w:val="24"/>
        </w:rPr>
      </w:pPr>
      <w:r w:rsidRPr="00ED4623">
        <w:rPr>
          <w:szCs w:val="24"/>
        </w:rPr>
        <w:t>[</w:t>
      </w:r>
      <w:r w:rsidR="00B82321" w:rsidRPr="00ED4623">
        <w:rPr>
          <w:rFonts w:hint="eastAsia"/>
          <w:szCs w:val="24"/>
        </w:rPr>
        <w:t>6</w:t>
      </w:r>
      <w:r w:rsidRPr="00ED4623">
        <w:rPr>
          <w:szCs w:val="24"/>
        </w:rPr>
        <w:t>]</w:t>
      </w:r>
      <w:r w:rsidRPr="00ED4623">
        <w:rPr>
          <w:szCs w:val="24"/>
        </w:rPr>
        <w:tab/>
        <w:t>Xu H, Yang X, Wang D, et al. Multivariate and spatio-temporal groundwater pollution risk assessment: A new long-time serial groundwater environmental impact assessment system[J]. Environmental Pollution, 2023, 317: 120621.</w:t>
      </w:r>
    </w:p>
    <w:p w14:paraId="6CE7C59A" w14:textId="77777777" w:rsidR="00B82321" w:rsidRPr="00ED4623" w:rsidRDefault="00B82321" w:rsidP="00ED4623">
      <w:pPr>
        <w:snapToGrid w:val="0"/>
        <w:ind w:firstLineChars="0" w:firstLine="0"/>
        <w:rPr>
          <w:szCs w:val="24"/>
        </w:rPr>
      </w:pPr>
      <w:r w:rsidRPr="00ED4623">
        <w:rPr>
          <w:szCs w:val="24"/>
        </w:rPr>
        <w:t>[</w:t>
      </w:r>
      <w:r w:rsidR="00BA2B05" w:rsidRPr="00ED4623">
        <w:rPr>
          <w:rFonts w:hint="eastAsia"/>
          <w:szCs w:val="24"/>
        </w:rPr>
        <w:t>7</w:t>
      </w:r>
      <w:r w:rsidRPr="00ED4623">
        <w:rPr>
          <w:szCs w:val="24"/>
        </w:rPr>
        <w:t>]</w:t>
      </w:r>
      <w:r w:rsidRPr="00ED4623">
        <w:rPr>
          <w:szCs w:val="24"/>
        </w:rPr>
        <w:tab/>
        <w:t>Guo X, Zuo R, Shan D, et al. Source apportionment of pollution in groundwater source area using factor analysis and positive matrix factorization methods[J]. Human and Ecological Risk Assessment: An International Journal, 2017, 23(6): 1417-1436.</w:t>
      </w:r>
    </w:p>
    <w:p w14:paraId="1294877B" w14:textId="77777777" w:rsidR="00107721" w:rsidRPr="00ED4623" w:rsidRDefault="00107721" w:rsidP="00ED4623">
      <w:pPr>
        <w:snapToGrid w:val="0"/>
        <w:ind w:firstLineChars="0" w:firstLine="0"/>
        <w:rPr>
          <w:szCs w:val="24"/>
        </w:rPr>
      </w:pPr>
      <w:r w:rsidRPr="00ED4623">
        <w:rPr>
          <w:szCs w:val="24"/>
        </w:rPr>
        <w:t>[</w:t>
      </w:r>
      <w:r w:rsidR="00726BBD" w:rsidRPr="00ED4623">
        <w:rPr>
          <w:rFonts w:hint="eastAsia"/>
          <w:szCs w:val="24"/>
        </w:rPr>
        <w:t>8</w:t>
      </w:r>
      <w:r w:rsidRPr="00ED4623">
        <w:rPr>
          <w:szCs w:val="24"/>
        </w:rPr>
        <w:t>]</w:t>
      </w:r>
      <w:r w:rsidRPr="00ED4623">
        <w:rPr>
          <w:szCs w:val="24"/>
        </w:rPr>
        <w:tab/>
        <w:t>Zuo R, Chen X, Li X, et al. Distribution, genesis, and pollution risk of ammonium nitrogen in groundwater in an arid loess plain, northwestern China[J]. Environmental Earth Sciences, 2017, 76(17): 629.</w:t>
      </w:r>
    </w:p>
    <w:p w14:paraId="671E27C3" w14:textId="77777777" w:rsidR="00F35518" w:rsidRPr="00ED4623" w:rsidRDefault="00F35518" w:rsidP="00ED4623">
      <w:pPr>
        <w:snapToGrid w:val="0"/>
        <w:ind w:firstLineChars="0" w:firstLine="0"/>
        <w:rPr>
          <w:szCs w:val="24"/>
        </w:rPr>
      </w:pPr>
      <w:r w:rsidRPr="00ED4623">
        <w:rPr>
          <w:rFonts w:hint="eastAsia"/>
          <w:szCs w:val="24"/>
        </w:rPr>
        <w:t>[9]</w:t>
      </w:r>
      <w:r w:rsidRPr="00ED4623">
        <w:rPr>
          <w:rFonts w:hint="eastAsia"/>
          <w:szCs w:val="24"/>
        </w:rPr>
        <w:tab/>
      </w:r>
      <w:r w:rsidRPr="00ED4623">
        <w:rPr>
          <w:rFonts w:hint="eastAsia"/>
          <w:szCs w:val="24"/>
        </w:rPr>
        <w:t>尹荣尧</w:t>
      </w:r>
      <w:r w:rsidRPr="00ED4623">
        <w:rPr>
          <w:rFonts w:hint="eastAsia"/>
          <w:szCs w:val="24"/>
        </w:rPr>
        <w:t xml:space="preserve">, </w:t>
      </w:r>
      <w:r w:rsidRPr="00ED4623">
        <w:rPr>
          <w:rFonts w:hint="eastAsia"/>
          <w:szCs w:val="24"/>
        </w:rPr>
        <w:t>杨潇</w:t>
      </w:r>
      <w:r w:rsidRPr="00ED4623">
        <w:rPr>
          <w:rFonts w:hint="eastAsia"/>
          <w:szCs w:val="24"/>
        </w:rPr>
        <w:t xml:space="preserve">, </w:t>
      </w:r>
      <w:r w:rsidRPr="00ED4623">
        <w:rPr>
          <w:rFonts w:hint="eastAsia"/>
          <w:szCs w:val="24"/>
        </w:rPr>
        <w:t>孙翔</w:t>
      </w:r>
      <w:r w:rsidRPr="00ED4623">
        <w:rPr>
          <w:rFonts w:hint="eastAsia"/>
          <w:szCs w:val="24"/>
        </w:rPr>
        <w:t xml:space="preserve">, </w:t>
      </w:r>
      <w:r w:rsidRPr="00ED4623">
        <w:rPr>
          <w:rFonts w:hint="eastAsia"/>
          <w:szCs w:val="24"/>
        </w:rPr>
        <w:t>等</w:t>
      </w:r>
      <w:r w:rsidRPr="00ED4623">
        <w:rPr>
          <w:rFonts w:hint="eastAsia"/>
          <w:szCs w:val="24"/>
        </w:rPr>
        <w:t xml:space="preserve">. </w:t>
      </w:r>
      <w:r w:rsidRPr="00ED4623">
        <w:rPr>
          <w:rFonts w:hint="eastAsia"/>
          <w:szCs w:val="24"/>
        </w:rPr>
        <w:t>江苏沿海化工区环境风险分级及优先管理策略研究</w:t>
      </w:r>
      <w:r w:rsidRPr="00ED4623">
        <w:rPr>
          <w:rFonts w:hint="eastAsia"/>
          <w:szCs w:val="24"/>
        </w:rPr>
        <w:t xml:space="preserve">[J]. </w:t>
      </w:r>
      <w:r w:rsidRPr="00ED4623">
        <w:rPr>
          <w:rFonts w:hint="eastAsia"/>
          <w:szCs w:val="24"/>
        </w:rPr>
        <w:t>中国环境科学</w:t>
      </w:r>
      <w:r w:rsidRPr="00ED4623">
        <w:rPr>
          <w:rFonts w:hint="eastAsia"/>
          <w:szCs w:val="24"/>
        </w:rPr>
        <w:t>, 2011, 31(7): 1225-1232</w:t>
      </w:r>
      <w:r w:rsidR="002971FA" w:rsidRPr="00ED4623">
        <w:rPr>
          <w:rFonts w:hint="eastAsia"/>
          <w:szCs w:val="24"/>
        </w:rPr>
        <w:t>.</w:t>
      </w:r>
    </w:p>
    <w:p w14:paraId="0AE858E2" w14:textId="77777777" w:rsidR="005A3945" w:rsidRPr="00ED4623" w:rsidRDefault="005A3945" w:rsidP="00ED4623">
      <w:pPr>
        <w:snapToGrid w:val="0"/>
        <w:ind w:firstLineChars="0" w:firstLine="0"/>
        <w:rPr>
          <w:szCs w:val="24"/>
        </w:rPr>
      </w:pPr>
      <w:r w:rsidRPr="00ED4623">
        <w:rPr>
          <w:rFonts w:hint="eastAsia"/>
          <w:szCs w:val="24"/>
        </w:rPr>
        <w:t>[</w:t>
      </w:r>
      <w:r w:rsidR="00A76930" w:rsidRPr="00ED4623">
        <w:rPr>
          <w:rFonts w:hint="eastAsia"/>
          <w:szCs w:val="24"/>
        </w:rPr>
        <w:t>10</w:t>
      </w:r>
      <w:r w:rsidRPr="00ED4623">
        <w:rPr>
          <w:rFonts w:hint="eastAsia"/>
          <w:szCs w:val="24"/>
        </w:rPr>
        <w:t>]</w:t>
      </w:r>
      <w:r w:rsidRPr="00ED4623">
        <w:rPr>
          <w:rFonts w:hint="eastAsia"/>
          <w:szCs w:val="24"/>
        </w:rPr>
        <w:tab/>
      </w:r>
      <w:r w:rsidRPr="00ED4623">
        <w:rPr>
          <w:rFonts w:hint="eastAsia"/>
          <w:szCs w:val="24"/>
        </w:rPr>
        <w:t>郑俊</w:t>
      </w:r>
      <w:r w:rsidRPr="00ED4623">
        <w:rPr>
          <w:rFonts w:hint="eastAsia"/>
          <w:szCs w:val="24"/>
        </w:rPr>
        <w:t xml:space="preserve">. </w:t>
      </w:r>
      <w:r w:rsidRPr="00ED4623">
        <w:rPr>
          <w:rFonts w:hint="eastAsia"/>
          <w:szCs w:val="24"/>
        </w:rPr>
        <w:t>工业园区环境风险管理研究进展及对策浅析</w:t>
      </w:r>
      <w:r w:rsidRPr="00ED4623">
        <w:rPr>
          <w:rFonts w:hint="eastAsia"/>
          <w:szCs w:val="24"/>
        </w:rPr>
        <w:t xml:space="preserve">[J]. </w:t>
      </w:r>
      <w:r w:rsidRPr="00ED4623">
        <w:rPr>
          <w:rFonts w:hint="eastAsia"/>
          <w:szCs w:val="24"/>
        </w:rPr>
        <w:t>城市道桥与防洪</w:t>
      </w:r>
      <w:r w:rsidRPr="00ED4623">
        <w:rPr>
          <w:rFonts w:hint="eastAsia"/>
          <w:szCs w:val="24"/>
        </w:rPr>
        <w:t>, 2016(11): 156-159, 17.</w:t>
      </w:r>
    </w:p>
    <w:p w14:paraId="0EA67EF1" w14:textId="77777777" w:rsidR="00CA1190" w:rsidRPr="00ED4623" w:rsidRDefault="00CA1190" w:rsidP="00ED4623">
      <w:pPr>
        <w:snapToGrid w:val="0"/>
        <w:ind w:firstLineChars="0" w:firstLine="0"/>
        <w:rPr>
          <w:szCs w:val="24"/>
        </w:rPr>
      </w:pPr>
      <w:r w:rsidRPr="00ED4623">
        <w:rPr>
          <w:rFonts w:hint="eastAsia"/>
          <w:szCs w:val="24"/>
        </w:rPr>
        <w:t>[11]</w:t>
      </w:r>
      <w:r w:rsidRPr="00ED4623">
        <w:rPr>
          <w:rFonts w:hint="eastAsia"/>
          <w:szCs w:val="24"/>
        </w:rPr>
        <w:tab/>
      </w:r>
      <w:r w:rsidRPr="00ED4623">
        <w:rPr>
          <w:rFonts w:hint="eastAsia"/>
          <w:szCs w:val="24"/>
        </w:rPr>
        <w:t>周新荣</w:t>
      </w:r>
      <w:r w:rsidRPr="00ED4623">
        <w:rPr>
          <w:rFonts w:hint="eastAsia"/>
          <w:szCs w:val="24"/>
        </w:rPr>
        <w:t xml:space="preserve">. </w:t>
      </w:r>
      <w:r w:rsidRPr="00ED4623">
        <w:rPr>
          <w:rFonts w:hint="eastAsia"/>
          <w:szCs w:val="24"/>
        </w:rPr>
        <w:t>工业园区环境风险源识别与分级研究</w:t>
      </w:r>
      <w:r w:rsidRPr="00ED4623">
        <w:rPr>
          <w:rFonts w:hint="eastAsia"/>
          <w:szCs w:val="24"/>
        </w:rPr>
        <w:t xml:space="preserve">[J]. </w:t>
      </w:r>
      <w:r w:rsidRPr="00ED4623">
        <w:rPr>
          <w:rFonts w:hint="eastAsia"/>
          <w:szCs w:val="24"/>
        </w:rPr>
        <w:t>环境监控与预警</w:t>
      </w:r>
      <w:r w:rsidRPr="00ED4623">
        <w:rPr>
          <w:rFonts w:hint="eastAsia"/>
          <w:szCs w:val="24"/>
        </w:rPr>
        <w:t>, 2013, 5(4): 4-8.</w:t>
      </w:r>
    </w:p>
    <w:p w14:paraId="246096CE" w14:textId="77777777" w:rsidR="007573CD" w:rsidRPr="00ED4623" w:rsidRDefault="007573CD" w:rsidP="00ED4623">
      <w:pPr>
        <w:snapToGrid w:val="0"/>
        <w:ind w:firstLineChars="0" w:firstLine="0"/>
        <w:rPr>
          <w:szCs w:val="24"/>
        </w:rPr>
      </w:pPr>
      <w:r w:rsidRPr="00ED4623">
        <w:rPr>
          <w:rFonts w:hint="eastAsia"/>
          <w:szCs w:val="24"/>
        </w:rPr>
        <w:t>[1</w:t>
      </w:r>
      <w:r w:rsidR="00902365" w:rsidRPr="00ED4623">
        <w:rPr>
          <w:rFonts w:hint="eastAsia"/>
          <w:szCs w:val="24"/>
        </w:rPr>
        <w:t>2</w:t>
      </w:r>
      <w:r w:rsidRPr="00ED4623">
        <w:rPr>
          <w:rFonts w:hint="eastAsia"/>
          <w:szCs w:val="24"/>
        </w:rPr>
        <w:t>]</w:t>
      </w:r>
      <w:r w:rsidRPr="00ED4623">
        <w:rPr>
          <w:rFonts w:hint="eastAsia"/>
          <w:szCs w:val="24"/>
        </w:rPr>
        <w:tab/>
      </w:r>
      <w:r w:rsidRPr="00ED4623">
        <w:rPr>
          <w:rFonts w:hint="eastAsia"/>
          <w:szCs w:val="24"/>
        </w:rPr>
        <w:t>占升</w:t>
      </w:r>
      <w:r w:rsidRPr="00ED4623">
        <w:rPr>
          <w:rFonts w:hint="eastAsia"/>
          <w:szCs w:val="24"/>
        </w:rPr>
        <w:t xml:space="preserve">, </w:t>
      </w:r>
      <w:r w:rsidRPr="00ED4623">
        <w:rPr>
          <w:rFonts w:hint="eastAsia"/>
          <w:szCs w:val="24"/>
        </w:rPr>
        <w:t>纪斌</w:t>
      </w:r>
      <w:r w:rsidRPr="00ED4623">
        <w:rPr>
          <w:rFonts w:hint="eastAsia"/>
          <w:szCs w:val="24"/>
        </w:rPr>
        <w:t xml:space="preserve">, </w:t>
      </w:r>
      <w:r w:rsidRPr="00ED4623">
        <w:rPr>
          <w:rFonts w:hint="eastAsia"/>
          <w:szCs w:val="24"/>
        </w:rPr>
        <w:t>潘晓波</w:t>
      </w:r>
      <w:r w:rsidRPr="00ED4623">
        <w:rPr>
          <w:rFonts w:hint="eastAsia"/>
          <w:szCs w:val="24"/>
        </w:rPr>
        <w:t xml:space="preserve">, </w:t>
      </w:r>
      <w:r w:rsidRPr="00ED4623">
        <w:rPr>
          <w:rFonts w:hint="eastAsia"/>
          <w:szCs w:val="24"/>
        </w:rPr>
        <w:t>等</w:t>
      </w:r>
      <w:r w:rsidRPr="00ED4623">
        <w:rPr>
          <w:rFonts w:hint="eastAsia"/>
          <w:szCs w:val="24"/>
        </w:rPr>
        <w:t xml:space="preserve">. </w:t>
      </w:r>
      <w:r w:rsidRPr="00ED4623">
        <w:rPr>
          <w:rFonts w:hint="eastAsia"/>
          <w:szCs w:val="24"/>
        </w:rPr>
        <w:t>工业园区地下水污染管控分区分级的方法及实践</w:t>
      </w:r>
      <w:r w:rsidRPr="00ED4623">
        <w:rPr>
          <w:rFonts w:hint="eastAsia"/>
          <w:szCs w:val="24"/>
        </w:rPr>
        <w:t xml:space="preserve">[J]. </w:t>
      </w:r>
      <w:r w:rsidRPr="00ED4623">
        <w:rPr>
          <w:rFonts w:hint="eastAsia"/>
          <w:szCs w:val="24"/>
        </w:rPr>
        <w:t>环境科技</w:t>
      </w:r>
      <w:r w:rsidRPr="00ED4623">
        <w:rPr>
          <w:rFonts w:hint="eastAsia"/>
          <w:szCs w:val="24"/>
        </w:rPr>
        <w:t>, 2024, 37(6): 55-59.</w:t>
      </w:r>
    </w:p>
    <w:p w14:paraId="2886199B" w14:textId="77777777" w:rsidR="00902365" w:rsidRPr="00ED4623" w:rsidRDefault="003D6084" w:rsidP="00ED4623">
      <w:pPr>
        <w:snapToGrid w:val="0"/>
        <w:ind w:firstLineChars="0" w:firstLine="0"/>
        <w:rPr>
          <w:szCs w:val="24"/>
        </w:rPr>
      </w:pPr>
      <w:r w:rsidRPr="00ED4623">
        <w:rPr>
          <w:szCs w:val="24"/>
        </w:rPr>
        <w:t>[1</w:t>
      </w:r>
      <w:r w:rsidR="004F68EC" w:rsidRPr="00ED4623">
        <w:rPr>
          <w:rFonts w:hint="eastAsia"/>
          <w:szCs w:val="24"/>
        </w:rPr>
        <w:t>3</w:t>
      </w:r>
      <w:r w:rsidRPr="00ED4623">
        <w:rPr>
          <w:szCs w:val="24"/>
        </w:rPr>
        <w:t>]</w:t>
      </w:r>
      <w:r w:rsidRPr="00ED4623">
        <w:rPr>
          <w:szCs w:val="24"/>
        </w:rPr>
        <w:tab/>
        <w:t xml:space="preserve">Salmanighabeshi S, Palomo-Marín M R, Bernalte E, et al. Long-term assessment of ecological risk from deposition of elemental pollutants in the vicinity of the industrial area of Puchuncaví-Ventanas, central Chile[J]. Science of The Total Environment, 2015, 527-528: </w:t>
      </w:r>
      <w:r w:rsidRPr="00ED4623">
        <w:rPr>
          <w:szCs w:val="24"/>
        </w:rPr>
        <w:lastRenderedPageBreak/>
        <w:t>335-343.</w:t>
      </w:r>
    </w:p>
    <w:p w14:paraId="3B910EB3" w14:textId="77777777" w:rsidR="004F68EC" w:rsidRPr="00ED4623" w:rsidRDefault="004F68EC" w:rsidP="00ED4623">
      <w:pPr>
        <w:snapToGrid w:val="0"/>
        <w:ind w:firstLineChars="0" w:firstLine="0"/>
        <w:rPr>
          <w:szCs w:val="24"/>
        </w:rPr>
      </w:pPr>
      <w:r w:rsidRPr="00ED4623">
        <w:rPr>
          <w:rFonts w:hint="eastAsia"/>
          <w:szCs w:val="24"/>
        </w:rPr>
        <w:t>[14]</w:t>
      </w:r>
      <w:r w:rsidRPr="00ED4623">
        <w:rPr>
          <w:rFonts w:hint="eastAsia"/>
          <w:szCs w:val="24"/>
        </w:rPr>
        <w:tab/>
      </w:r>
      <w:r w:rsidRPr="00ED4623">
        <w:rPr>
          <w:rFonts w:hint="eastAsia"/>
          <w:szCs w:val="24"/>
        </w:rPr>
        <w:t>张温彬</w:t>
      </w:r>
      <w:r w:rsidRPr="00ED4623">
        <w:rPr>
          <w:rFonts w:hint="eastAsia"/>
          <w:szCs w:val="24"/>
        </w:rPr>
        <w:t xml:space="preserve">, </w:t>
      </w:r>
      <w:r w:rsidRPr="00ED4623">
        <w:rPr>
          <w:rFonts w:hint="eastAsia"/>
          <w:szCs w:val="24"/>
        </w:rPr>
        <w:t>初亚飞</w:t>
      </w:r>
      <w:r w:rsidRPr="00ED4623">
        <w:rPr>
          <w:rFonts w:hint="eastAsia"/>
          <w:szCs w:val="24"/>
        </w:rPr>
        <w:t xml:space="preserve">, </w:t>
      </w:r>
      <w:r w:rsidRPr="00ED4623">
        <w:rPr>
          <w:rFonts w:hint="eastAsia"/>
          <w:szCs w:val="24"/>
        </w:rPr>
        <w:t>罗兰花</w:t>
      </w:r>
      <w:r w:rsidRPr="00ED4623">
        <w:rPr>
          <w:rFonts w:hint="eastAsia"/>
          <w:szCs w:val="24"/>
        </w:rPr>
        <w:t xml:space="preserve">, </w:t>
      </w:r>
      <w:r w:rsidRPr="00ED4623">
        <w:rPr>
          <w:rFonts w:hint="eastAsia"/>
          <w:szCs w:val="24"/>
        </w:rPr>
        <w:t>等</w:t>
      </w:r>
      <w:r w:rsidRPr="00ED4623">
        <w:rPr>
          <w:rFonts w:hint="eastAsia"/>
          <w:szCs w:val="24"/>
        </w:rPr>
        <w:t xml:space="preserve">. </w:t>
      </w:r>
      <w:r w:rsidRPr="00ED4623">
        <w:rPr>
          <w:rFonts w:hint="eastAsia"/>
          <w:szCs w:val="24"/>
        </w:rPr>
        <w:t>农田重金属污染分类分区修复治理模式探索——以龙岩市某污染农田修复工程为例</w:t>
      </w:r>
      <w:r w:rsidRPr="00ED4623">
        <w:rPr>
          <w:rFonts w:hint="eastAsia"/>
          <w:szCs w:val="24"/>
        </w:rPr>
        <w:t xml:space="preserve">[J]. </w:t>
      </w:r>
      <w:r w:rsidRPr="00ED4623">
        <w:rPr>
          <w:rFonts w:hint="eastAsia"/>
          <w:szCs w:val="24"/>
        </w:rPr>
        <w:t>现代农业科技</w:t>
      </w:r>
      <w:r w:rsidRPr="00ED4623">
        <w:rPr>
          <w:rFonts w:hint="eastAsia"/>
          <w:szCs w:val="24"/>
        </w:rPr>
        <w:t>, 2022(24): 120-124, 128.</w:t>
      </w:r>
    </w:p>
    <w:p w14:paraId="46EDB621" w14:textId="77777777" w:rsidR="00170FE6" w:rsidRPr="00ED4623" w:rsidRDefault="00170FE6" w:rsidP="00ED4623">
      <w:pPr>
        <w:snapToGrid w:val="0"/>
        <w:ind w:firstLineChars="0" w:firstLine="0"/>
        <w:rPr>
          <w:szCs w:val="24"/>
        </w:rPr>
      </w:pPr>
      <w:r w:rsidRPr="00ED4623">
        <w:rPr>
          <w:szCs w:val="24"/>
        </w:rPr>
        <w:t>[</w:t>
      </w:r>
      <w:r w:rsidRPr="00ED4623">
        <w:rPr>
          <w:rFonts w:hint="eastAsia"/>
          <w:szCs w:val="24"/>
        </w:rPr>
        <w:t>15</w:t>
      </w:r>
      <w:r w:rsidRPr="00ED4623">
        <w:rPr>
          <w:szCs w:val="24"/>
        </w:rPr>
        <w:t>]</w:t>
      </w:r>
      <w:r w:rsidRPr="00ED4623">
        <w:rPr>
          <w:szCs w:val="24"/>
        </w:rPr>
        <w:tab/>
        <w:t>Guan Y, Chu C, Shao C, et al. Study of integrated risk regionalisation method for soil contamination in industrial and mining area[J]. Ecological Indicators, 2017, 83: 260-270.</w:t>
      </w:r>
    </w:p>
    <w:p w14:paraId="2870E64F" w14:textId="77777777" w:rsidR="00A85897" w:rsidRPr="00ED4623" w:rsidRDefault="00A85897" w:rsidP="00ED4623">
      <w:pPr>
        <w:snapToGrid w:val="0"/>
        <w:ind w:firstLineChars="0" w:firstLine="0"/>
        <w:rPr>
          <w:szCs w:val="24"/>
        </w:rPr>
      </w:pPr>
      <w:r w:rsidRPr="00ED4623">
        <w:rPr>
          <w:rFonts w:hint="eastAsia"/>
          <w:szCs w:val="24"/>
        </w:rPr>
        <w:t>[16]</w:t>
      </w:r>
      <w:r w:rsidRPr="00ED4623">
        <w:rPr>
          <w:rFonts w:hint="eastAsia"/>
          <w:szCs w:val="24"/>
        </w:rPr>
        <w:tab/>
      </w:r>
      <w:r w:rsidRPr="00ED4623">
        <w:rPr>
          <w:rFonts w:hint="eastAsia"/>
          <w:szCs w:val="24"/>
        </w:rPr>
        <w:t>黄燕鹏</w:t>
      </w:r>
      <w:r w:rsidRPr="00ED4623">
        <w:rPr>
          <w:rFonts w:hint="eastAsia"/>
          <w:szCs w:val="24"/>
        </w:rPr>
        <w:t xml:space="preserve">, </w:t>
      </w:r>
      <w:r w:rsidRPr="00ED4623">
        <w:rPr>
          <w:rFonts w:hint="eastAsia"/>
          <w:szCs w:val="24"/>
        </w:rPr>
        <w:t>汪远昊</w:t>
      </w:r>
      <w:r w:rsidRPr="00ED4623">
        <w:rPr>
          <w:rFonts w:hint="eastAsia"/>
          <w:szCs w:val="24"/>
        </w:rPr>
        <w:t xml:space="preserve">, </w:t>
      </w:r>
      <w:r w:rsidRPr="00ED4623">
        <w:rPr>
          <w:rFonts w:hint="eastAsia"/>
          <w:szCs w:val="24"/>
        </w:rPr>
        <w:t>王超</w:t>
      </w:r>
      <w:r w:rsidRPr="00ED4623">
        <w:rPr>
          <w:rFonts w:hint="eastAsia"/>
          <w:szCs w:val="24"/>
        </w:rPr>
        <w:t xml:space="preserve">, </w:t>
      </w:r>
      <w:r w:rsidRPr="00ED4623">
        <w:rPr>
          <w:rFonts w:hint="eastAsia"/>
          <w:szCs w:val="24"/>
        </w:rPr>
        <w:t>等</w:t>
      </w:r>
      <w:r w:rsidRPr="00ED4623">
        <w:rPr>
          <w:rFonts w:hint="eastAsia"/>
          <w:szCs w:val="24"/>
        </w:rPr>
        <w:t xml:space="preserve">. </w:t>
      </w:r>
      <w:r w:rsidRPr="00ED4623">
        <w:rPr>
          <w:rFonts w:hint="eastAsia"/>
          <w:szCs w:val="24"/>
        </w:rPr>
        <w:t>基于自组织神经网络和</w:t>
      </w:r>
      <w:r w:rsidRPr="00ED4623">
        <w:rPr>
          <w:rFonts w:hint="eastAsia"/>
          <w:szCs w:val="24"/>
        </w:rPr>
        <w:t>K-means</w:t>
      </w:r>
      <w:r w:rsidRPr="00ED4623">
        <w:rPr>
          <w:rFonts w:hint="eastAsia"/>
          <w:szCs w:val="24"/>
        </w:rPr>
        <w:t>的场地地下水污染特征分析与分区管控研究</w:t>
      </w:r>
      <w:r w:rsidRPr="00ED4623">
        <w:rPr>
          <w:rFonts w:hint="eastAsia"/>
          <w:szCs w:val="24"/>
        </w:rPr>
        <w:t xml:space="preserve">[J]. </w:t>
      </w:r>
      <w:r w:rsidRPr="00ED4623">
        <w:rPr>
          <w:rFonts w:hint="eastAsia"/>
          <w:szCs w:val="24"/>
        </w:rPr>
        <w:t>环境工程</w:t>
      </w:r>
      <w:r w:rsidRPr="00ED4623">
        <w:rPr>
          <w:rFonts w:hint="eastAsia"/>
          <w:szCs w:val="24"/>
        </w:rPr>
        <w:t>, 2022, 40(6): 31-41, 47.</w:t>
      </w:r>
    </w:p>
    <w:p w14:paraId="0E4021C5" w14:textId="77777777" w:rsidR="00A85897" w:rsidRPr="00ED4623" w:rsidRDefault="00A85897" w:rsidP="00ED4623">
      <w:pPr>
        <w:snapToGrid w:val="0"/>
        <w:ind w:firstLineChars="0" w:firstLine="0"/>
        <w:rPr>
          <w:szCs w:val="24"/>
        </w:rPr>
      </w:pPr>
      <w:r w:rsidRPr="00ED4623">
        <w:rPr>
          <w:szCs w:val="24"/>
        </w:rPr>
        <w:t>[</w:t>
      </w:r>
      <w:r w:rsidRPr="00ED4623">
        <w:rPr>
          <w:rFonts w:hint="eastAsia"/>
          <w:szCs w:val="24"/>
        </w:rPr>
        <w:t>17</w:t>
      </w:r>
      <w:r w:rsidRPr="00ED4623">
        <w:rPr>
          <w:szCs w:val="24"/>
        </w:rPr>
        <w:t>]</w:t>
      </w:r>
      <w:r w:rsidRPr="00ED4623">
        <w:rPr>
          <w:szCs w:val="24"/>
        </w:rPr>
        <w:tab/>
        <w:t>Liu Z, Fei Y, Shi H, et al. Prediction of high-risk areas of soil heavy metal pollution with multiple factors on a large scale in industrial agglomeration areas[J]. Science of The Total Environment, 2022, 808: 151874.</w:t>
      </w:r>
    </w:p>
    <w:sectPr w:rsidR="00A85897" w:rsidRPr="00ED4623">
      <w:footerReference w:type="default" r:id="rId1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826D2" w14:textId="77777777" w:rsidR="00A5583B" w:rsidRDefault="00A5583B">
      <w:pPr>
        <w:spacing w:line="240" w:lineRule="auto"/>
        <w:ind w:firstLine="560"/>
      </w:pPr>
      <w:r>
        <w:separator/>
      </w:r>
    </w:p>
  </w:endnote>
  <w:endnote w:type="continuationSeparator" w:id="0">
    <w:p w14:paraId="0008CA43" w14:textId="77777777" w:rsidR="00A5583B" w:rsidRDefault="00A5583B">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232755"/>
      <w:docPartObj>
        <w:docPartGallery w:val="AutoText"/>
      </w:docPartObj>
    </w:sdtPr>
    <w:sdtEndPr/>
    <w:sdtContent>
      <w:p w14:paraId="07B8B5B0" w14:textId="559D3408" w:rsidR="00190C48" w:rsidRDefault="001C30E7" w:rsidP="00CA190C">
        <w:pPr>
          <w:pStyle w:val="a3"/>
          <w:ind w:firstLine="360"/>
          <w:jc w:val="center"/>
        </w:pPr>
        <w:r>
          <w:fldChar w:fldCharType="begin"/>
        </w:r>
        <w:r>
          <w:instrText>PAGE   \* MERGEFORMAT</w:instrText>
        </w:r>
        <w:r>
          <w:fldChar w:fldCharType="separate"/>
        </w:r>
        <w:r w:rsidR="00C97ADE" w:rsidRPr="00C97ADE">
          <w:rPr>
            <w:noProof/>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638608"/>
      <w:docPartObj>
        <w:docPartGallery w:val="AutoText"/>
      </w:docPartObj>
    </w:sdtPr>
    <w:sdtEndPr/>
    <w:sdtContent>
      <w:p w14:paraId="40349C3F" w14:textId="0515F474" w:rsidR="00190C48" w:rsidRDefault="001C30E7" w:rsidP="00E25C59">
        <w:pPr>
          <w:pStyle w:val="a3"/>
          <w:ind w:firstLine="360"/>
          <w:jc w:val="center"/>
        </w:pPr>
        <w:r>
          <w:fldChar w:fldCharType="begin"/>
        </w:r>
        <w:r>
          <w:instrText>PAGE   \* MERGEFORMAT</w:instrText>
        </w:r>
        <w:r>
          <w:fldChar w:fldCharType="separate"/>
        </w:r>
        <w:r w:rsidR="00C97ADE" w:rsidRPr="00C97ADE">
          <w:rPr>
            <w:noProof/>
            <w:lang w:val="zh-CN"/>
          </w:rPr>
          <w:t>III</w:t>
        </w:r>
        <w:r>
          <w:fldChar w:fldCharType="end"/>
        </w:r>
      </w:p>
    </w:sdtContent>
  </w:sdt>
  <w:p w14:paraId="3D5AEE7C" w14:textId="77777777" w:rsidR="00190C48" w:rsidRDefault="00190C48">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081D" w14:textId="77777777" w:rsidR="00190C48" w:rsidRDefault="00190C48">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527390"/>
      <w:docPartObj>
        <w:docPartGallery w:val="AutoText"/>
      </w:docPartObj>
    </w:sdtPr>
    <w:sdtEndPr/>
    <w:sdtContent>
      <w:p w14:paraId="61662387" w14:textId="32E1F6FD" w:rsidR="00190C48" w:rsidRDefault="001C30E7" w:rsidP="000C5DA8">
        <w:pPr>
          <w:pStyle w:val="a3"/>
          <w:ind w:firstLine="360"/>
          <w:jc w:val="center"/>
        </w:pPr>
        <w:r>
          <w:fldChar w:fldCharType="begin"/>
        </w:r>
        <w:r>
          <w:instrText>PAGE   \* MERGEFORMAT</w:instrText>
        </w:r>
        <w:r>
          <w:fldChar w:fldCharType="separate"/>
        </w:r>
        <w:r w:rsidR="00C97ADE" w:rsidRPr="00C97ADE">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5CD7" w14:textId="77777777" w:rsidR="00A5583B" w:rsidRDefault="00A5583B">
      <w:pPr>
        <w:ind w:firstLine="560"/>
      </w:pPr>
      <w:r>
        <w:separator/>
      </w:r>
    </w:p>
  </w:footnote>
  <w:footnote w:type="continuationSeparator" w:id="0">
    <w:p w14:paraId="7EFA627A" w14:textId="77777777" w:rsidR="00A5583B" w:rsidRDefault="00A5583B">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1780" w14:textId="77777777" w:rsidR="00190C48" w:rsidRDefault="00190C48">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9877" w14:textId="77777777" w:rsidR="00190C48" w:rsidRDefault="00190C48">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16F0" w14:textId="77777777" w:rsidR="00190C48" w:rsidRDefault="00190C48">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AB73C"/>
    <w:multiLevelType w:val="singleLevel"/>
    <w:tmpl w:val="221AB73C"/>
    <w:lvl w:ilvl="0">
      <w:start w:val="7"/>
      <w:numFmt w:val="decimal"/>
      <w:suff w:val="nothing"/>
      <w:lvlText w:val="（%1）"/>
      <w:lvlJc w:val="left"/>
    </w:lvl>
  </w:abstractNum>
  <w:abstractNum w:abstractNumId="1" w15:restartNumberingAfterBreak="0">
    <w:nsid w:val="2AAD6316"/>
    <w:multiLevelType w:val="multilevel"/>
    <w:tmpl w:val="3404E47E"/>
    <w:lvl w:ilvl="0">
      <w:start w:val="1"/>
      <w:numFmt w:val="decimal"/>
      <w:lvlText w:val="%1."/>
      <w:lvlJc w:val="left"/>
      <w:pPr>
        <w:ind w:left="840" w:hanging="360"/>
      </w:pPr>
      <w:rPr>
        <w:rFonts w:hint="default"/>
      </w:rPr>
    </w:lvl>
    <w:lvl w:ilvl="1">
      <w:start w:val="1"/>
      <w:numFmt w:val="decimal"/>
      <w:isLgl/>
      <w:lvlText w:val="%1.%2"/>
      <w:lvlJc w:val="left"/>
      <w:pPr>
        <w:ind w:left="2554" w:hanging="428"/>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280" w:hanging="1800"/>
      </w:pPr>
      <w:rPr>
        <w:rFonts w:hint="default"/>
      </w:rPr>
    </w:lvl>
  </w:abstractNum>
  <w:num w:numId="1" w16cid:durableId="1227884242">
    <w:abstractNumId w:val="0"/>
  </w:num>
  <w:num w:numId="2" w16cid:durableId="141119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defaultTabStop w:val="420"/>
  <w:evenAndOddHeaders/>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23D9"/>
    <w:rsid w:val="00000990"/>
    <w:rsid w:val="0000639E"/>
    <w:rsid w:val="000063CD"/>
    <w:rsid w:val="00025AB1"/>
    <w:rsid w:val="000261FD"/>
    <w:rsid w:val="000326E0"/>
    <w:rsid w:val="00033F15"/>
    <w:rsid w:val="00034B8C"/>
    <w:rsid w:val="00035A22"/>
    <w:rsid w:val="000453B5"/>
    <w:rsid w:val="0005235E"/>
    <w:rsid w:val="00057C61"/>
    <w:rsid w:val="00066C1D"/>
    <w:rsid w:val="000727B2"/>
    <w:rsid w:val="00076F27"/>
    <w:rsid w:val="00077E60"/>
    <w:rsid w:val="00083A48"/>
    <w:rsid w:val="0008651E"/>
    <w:rsid w:val="000A0742"/>
    <w:rsid w:val="000A0A83"/>
    <w:rsid w:val="000A3070"/>
    <w:rsid w:val="000A7252"/>
    <w:rsid w:val="000B6B9D"/>
    <w:rsid w:val="000B76D1"/>
    <w:rsid w:val="000C5DA8"/>
    <w:rsid w:val="000E1D60"/>
    <w:rsid w:val="000E1F3B"/>
    <w:rsid w:val="000E29C2"/>
    <w:rsid w:val="000E3359"/>
    <w:rsid w:val="000F15F3"/>
    <w:rsid w:val="000F23D9"/>
    <w:rsid w:val="000F579D"/>
    <w:rsid w:val="00100E6C"/>
    <w:rsid w:val="00101388"/>
    <w:rsid w:val="00105301"/>
    <w:rsid w:val="00107721"/>
    <w:rsid w:val="001328CC"/>
    <w:rsid w:val="001362A4"/>
    <w:rsid w:val="0014484B"/>
    <w:rsid w:val="00144B07"/>
    <w:rsid w:val="00145881"/>
    <w:rsid w:val="00151709"/>
    <w:rsid w:val="00155B62"/>
    <w:rsid w:val="00156AB6"/>
    <w:rsid w:val="00157FD6"/>
    <w:rsid w:val="00165F91"/>
    <w:rsid w:val="00170FE6"/>
    <w:rsid w:val="00173E3E"/>
    <w:rsid w:val="00182967"/>
    <w:rsid w:val="0018703D"/>
    <w:rsid w:val="00190B5C"/>
    <w:rsid w:val="00190C48"/>
    <w:rsid w:val="0019117C"/>
    <w:rsid w:val="00191604"/>
    <w:rsid w:val="0019554A"/>
    <w:rsid w:val="001A2F32"/>
    <w:rsid w:val="001A3560"/>
    <w:rsid w:val="001B0BA6"/>
    <w:rsid w:val="001B202A"/>
    <w:rsid w:val="001C30E7"/>
    <w:rsid w:val="001D1A24"/>
    <w:rsid w:val="001D4705"/>
    <w:rsid w:val="001E6284"/>
    <w:rsid w:val="001F419C"/>
    <w:rsid w:val="00206408"/>
    <w:rsid w:val="002117B8"/>
    <w:rsid w:val="00215645"/>
    <w:rsid w:val="00217CBA"/>
    <w:rsid w:val="00222214"/>
    <w:rsid w:val="002326F7"/>
    <w:rsid w:val="0023759D"/>
    <w:rsid w:val="00237BDF"/>
    <w:rsid w:val="002479AA"/>
    <w:rsid w:val="002522B7"/>
    <w:rsid w:val="0026541D"/>
    <w:rsid w:val="00276E0A"/>
    <w:rsid w:val="002847AE"/>
    <w:rsid w:val="00290648"/>
    <w:rsid w:val="002971FA"/>
    <w:rsid w:val="002A30FF"/>
    <w:rsid w:val="002B0674"/>
    <w:rsid w:val="002B1533"/>
    <w:rsid w:val="002B2F41"/>
    <w:rsid w:val="002B6569"/>
    <w:rsid w:val="002C4E6D"/>
    <w:rsid w:val="002D21F4"/>
    <w:rsid w:val="002D481E"/>
    <w:rsid w:val="002E3F9E"/>
    <w:rsid w:val="002F183A"/>
    <w:rsid w:val="002F1FA1"/>
    <w:rsid w:val="002F366D"/>
    <w:rsid w:val="003266F7"/>
    <w:rsid w:val="0033714F"/>
    <w:rsid w:val="003414FE"/>
    <w:rsid w:val="00343EA5"/>
    <w:rsid w:val="00362B74"/>
    <w:rsid w:val="00364925"/>
    <w:rsid w:val="00366B95"/>
    <w:rsid w:val="00371041"/>
    <w:rsid w:val="00374431"/>
    <w:rsid w:val="003958AE"/>
    <w:rsid w:val="00395C1A"/>
    <w:rsid w:val="003A365F"/>
    <w:rsid w:val="003B1A33"/>
    <w:rsid w:val="003B1A44"/>
    <w:rsid w:val="003B2E81"/>
    <w:rsid w:val="003C0F46"/>
    <w:rsid w:val="003D6084"/>
    <w:rsid w:val="003E0F8B"/>
    <w:rsid w:val="003E4990"/>
    <w:rsid w:val="004047ED"/>
    <w:rsid w:val="0041000C"/>
    <w:rsid w:val="0041172C"/>
    <w:rsid w:val="00414733"/>
    <w:rsid w:val="00414996"/>
    <w:rsid w:val="004220FB"/>
    <w:rsid w:val="00423AE5"/>
    <w:rsid w:val="004263FC"/>
    <w:rsid w:val="004355F2"/>
    <w:rsid w:val="00443E3C"/>
    <w:rsid w:val="0045181A"/>
    <w:rsid w:val="00456E5F"/>
    <w:rsid w:val="00462496"/>
    <w:rsid w:val="00467B08"/>
    <w:rsid w:val="004853B2"/>
    <w:rsid w:val="00486ADE"/>
    <w:rsid w:val="00492BB4"/>
    <w:rsid w:val="004952D4"/>
    <w:rsid w:val="004960CB"/>
    <w:rsid w:val="00496C58"/>
    <w:rsid w:val="004A129B"/>
    <w:rsid w:val="004B13CF"/>
    <w:rsid w:val="004B23C9"/>
    <w:rsid w:val="004C5A0F"/>
    <w:rsid w:val="004D2D0C"/>
    <w:rsid w:val="004E1FE3"/>
    <w:rsid w:val="004E284C"/>
    <w:rsid w:val="004E2BAF"/>
    <w:rsid w:val="004F0CC9"/>
    <w:rsid w:val="004F2CC0"/>
    <w:rsid w:val="004F50CE"/>
    <w:rsid w:val="004F68EC"/>
    <w:rsid w:val="005052C3"/>
    <w:rsid w:val="0051765A"/>
    <w:rsid w:val="00522745"/>
    <w:rsid w:val="005264D1"/>
    <w:rsid w:val="0052672E"/>
    <w:rsid w:val="00530B78"/>
    <w:rsid w:val="005411AF"/>
    <w:rsid w:val="005429CE"/>
    <w:rsid w:val="005449DA"/>
    <w:rsid w:val="00547C58"/>
    <w:rsid w:val="00550D83"/>
    <w:rsid w:val="00556C4B"/>
    <w:rsid w:val="00556D06"/>
    <w:rsid w:val="005615C3"/>
    <w:rsid w:val="005706F5"/>
    <w:rsid w:val="0057583F"/>
    <w:rsid w:val="00577AF9"/>
    <w:rsid w:val="005A3945"/>
    <w:rsid w:val="005B51C8"/>
    <w:rsid w:val="005E26DF"/>
    <w:rsid w:val="005E5234"/>
    <w:rsid w:val="005E7310"/>
    <w:rsid w:val="005F0CEE"/>
    <w:rsid w:val="005F54BE"/>
    <w:rsid w:val="00603491"/>
    <w:rsid w:val="0060367D"/>
    <w:rsid w:val="00610FDB"/>
    <w:rsid w:val="00611D73"/>
    <w:rsid w:val="00622E10"/>
    <w:rsid w:val="00632006"/>
    <w:rsid w:val="00632391"/>
    <w:rsid w:val="00632D40"/>
    <w:rsid w:val="00633074"/>
    <w:rsid w:val="00635D79"/>
    <w:rsid w:val="006458A9"/>
    <w:rsid w:val="00645D32"/>
    <w:rsid w:val="00655722"/>
    <w:rsid w:val="00655912"/>
    <w:rsid w:val="006572F8"/>
    <w:rsid w:val="006674A8"/>
    <w:rsid w:val="00681894"/>
    <w:rsid w:val="006918D5"/>
    <w:rsid w:val="00697232"/>
    <w:rsid w:val="006A77C8"/>
    <w:rsid w:val="006B0C6D"/>
    <w:rsid w:val="006D0E75"/>
    <w:rsid w:val="006D6190"/>
    <w:rsid w:val="006D75E6"/>
    <w:rsid w:val="006E05C8"/>
    <w:rsid w:val="006F2B04"/>
    <w:rsid w:val="007064E4"/>
    <w:rsid w:val="00712E43"/>
    <w:rsid w:val="007136A6"/>
    <w:rsid w:val="00720DFA"/>
    <w:rsid w:val="00721A21"/>
    <w:rsid w:val="00724BA8"/>
    <w:rsid w:val="00726BBD"/>
    <w:rsid w:val="007344E3"/>
    <w:rsid w:val="007504B6"/>
    <w:rsid w:val="00752224"/>
    <w:rsid w:val="007554F4"/>
    <w:rsid w:val="0075570A"/>
    <w:rsid w:val="007573CD"/>
    <w:rsid w:val="00760DA1"/>
    <w:rsid w:val="00767A98"/>
    <w:rsid w:val="00771D2F"/>
    <w:rsid w:val="00777391"/>
    <w:rsid w:val="007810EE"/>
    <w:rsid w:val="00785EC2"/>
    <w:rsid w:val="007938FF"/>
    <w:rsid w:val="00797024"/>
    <w:rsid w:val="007A3A57"/>
    <w:rsid w:val="007C0382"/>
    <w:rsid w:val="007C3011"/>
    <w:rsid w:val="007C4E11"/>
    <w:rsid w:val="007C6766"/>
    <w:rsid w:val="007D0A25"/>
    <w:rsid w:val="007F4A8F"/>
    <w:rsid w:val="007F4AF4"/>
    <w:rsid w:val="0080274F"/>
    <w:rsid w:val="00810DAB"/>
    <w:rsid w:val="00811166"/>
    <w:rsid w:val="00815A6F"/>
    <w:rsid w:val="00832161"/>
    <w:rsid w:val="00835082"/>
    <w:rsid w:val="008408F0"/>
    <w:rsid w:val="0084529F"/>
    <w:rsid w:val="0084676E"/>
    <w:rsid w:val="0085210B"/>
    <w:rsid w:val="00862401"/>
    <w:rsid w:val="008657C1"/>
    <w:rsid w:val="00872421"/>
    <w:rsid w:val="00877328"/>
    <w:rsid w:val="00877EAD"/>
    <w:rsid w:val="0088284F"/>
    <w:rsid w:val="0089644F"/>
    <w:rsid w:val="008A02D7"/>
    <w:rsid w:val="008A5180"/>
    <w:rsid w:val="008A589B"/>
    <w:rsid w:val="008B2C4E"/>
    <w:rsid w:val="008B7B8F"/>
    <w:rsid w:val="008C05E6"/>
    <w:rsid w:val="008C6A26"/>
    <w:rsid w:val="008E5C9D"/>
    <w:rsid w:val="008F3692"/>
    <w:rsid w:val="008F3815"/>
    <w:rsid w:val="008F5FFB"/>
    <w:rsid w:val="008F61DB"/>
    <w:rsid w:val="00902365"/>
    <w:rsid w:val="00902391"/>
    <w:rsid w:val="00906B73"/>
    <w:rsid w:val="00922499"/>
    <w:rsid w:val="009254CD"/>
    <w:rsid w:val="009349D6"/>
    <w:rsid w:val="00941E53"/>
    <w:rsid w:val="009470AE"/>
    <w:rsid w:val="00960AF6"/>
    <w:rsid w:val="0096246A"/>
    <w:rsid w:val="0098096B"/>
    <w:rsid w:val="00983F6C"/>
    <w:rsid w:val="0098795E"/>
    <w:rsid w:val="009A2544"/>
    <w:rsid w:val="009A3E8A"/>
    <w:rsid w:val="009C0437"/>
    <w:rsid w:val="009C275A"/>
    <w:rsid w:val="009C4C9C"/>
    <w:rsid w:val="009D1FB8"/>
    <w:rsid w:val="009D47E4"/>
    <w:rsid w:val="009E1D70"/>
    <w:rsid w:val="009F1B08"/>
    <w:rsid w:val="009F7626"/>
    <w:rsid w:val="00A023B7"/>
    <w:rsid w:val="00A0385B"/>
    <w:rsid w:val="00A057F5"/>
    <w:rsid w:val="00A212C5"/>
    <w:rsid w:val="00A36000"/>
    <w:rsid w:val="00A365A0"/>
    <w:rsid w:val="00A41557"/>
    <w:rsid w:val="00A4383F"/>
    <w:rsid w:val="00A55669"/>
    <w:rsid w:val="00A5583B"/>
    <w:rsid w:val="00A6211B"/>
    <w:rsid w:val="00A634B2"/>
    <w:rsid w:val="00A667DD"/>
    <w:rsid w:val="00A669D1"/>
    <w:rsid w:val="00A76930"/>
    <w:rsid w:val="00A81566"/>
    <w:rsid w:val="00A85897"/>
    <w:rsid w:val="00A85F95"/>
    <w:rsid w:val="00AA1C1A"/>
    <w:rsid w:val="00AD333E"/>
    <w:rsid w:val="00AD7D20"/>
    <w:rsid w:val="00AE4A05"/>
    <w:rsid w:val="00AF490B"/>
    <w:rsid w:val="00B00EF8"/>
    <w:rsid w:val="00B02E7C"/>
    <w:rsid w:val="00B1344B"/>
    <w:rsid w:val="00B23DFB"/>
    <w:rsid w:val="00B24EEA"/>
    <w:rsid w:val="00B27C47"/>
    <w:rsid w:val="00B31501"/>
    <w:rsid w:val="00B36F19"/>
    <w:rsid w:val="00B5166A"/>
    <w:rsid w:val="00B60BF6"/>
    <w:rsid w:val="00B60C37"/>
    <w:rsid w:val="00B62973"/>
    <w:rsid w:val="00B65CBD"/>
    <w:rsid w:val="00B7358B"/>
    <w:rsid w:val="00B82321"/>
    <w:rsid w:val="00B8365A"/>
    <w:rsid w:val="00B853BE"/>
    <w:rsid w:val="00B9641A"/>
    <w:rsid w:val="00BA2B05"/>
    <w:rsid w:val="00BA3606"/>
    <w:rsid w:val="00BC7354"/>
    <w:rsid w:val="00BF32CB"/>
    <w:rsid w:val="00BF39F3"/>
    <w:rsid w:val="00BF3DE0"/>
    <w:rsid w:val="00C064B3"/>
    <w:rsid w:val="00C0787B"/>
    <w:rsid w:val="00C10FB5"/>
    <w:rsid w:val="00C200C5"/>
    <w:rsid w:val="00C20FF5"/>
    <w:rsid w:val="00C35C3A"/>
    <w:rsid w:val="00C42BCE"/>
    <w:rsid w:val="00C43C66"/>
    <w:rsid w:val="00C52A9B"/>
    <w:rsid w:val="00C54843"/>
    <w:rsid w:val="00C57254"/>
    <w:rsid w:val="00C61BF7"/>
    <w:rsid w:val="00C97ADE"/>
    <w:rsid w:val="00CA1190"/>
    <w:rsid w:val="00CA190C"/>
    <w:rsid w:val="00CB1217"/>
    <w:rsid w:val="00CB5054"/>
    <w:rsid w:val="00CB5579"/>
    <w:rsid w:val="00CD0867"/>
    <w:rsid w:val="00CD4D40"/>
    <w:rsid w:val="00CE0945"/>
    <w:rsid w:val="00CE3F42"/>
    <w:rsid w:val="00CF0696"/>
    <w:rsid w:val="00CF289A"/>
    <w:rsid w:val="00CF4216"/>
    <w:rsid w:val="00D138AE"/>
    <w:rsid w:val="00D26F32"/>
    <w:rsid w:val="00D347E6"/>
    <w:rsid w:val="00D3582D"/>
    <w:rsid w:val="00D36C88"/>
    <w:rsid w:val="00D548DC"/>
    <w:rsid w:val="00D63BD7"/>
    <w:rsid w:val="00D6401A"/>
    <w:rsid w:val="00D6719B"/>
    <w:rsid w:val="00D75C18"/>
    <w:rsid w:val="00D77D76"/>
    <w:rsid w:val="00D84EB1"/>
    <w:rsid w:val="00D92612"/>
    <w:rsid w:val="00DB4BAF"/>
    <w:rsid w:val="00DB6132"/>
    <w:rsid w:val="00DB645A"/>
    <w:rsid w:val="00DB65A4"/>
    <w:rsid w:val="00DC604D"/>
    <w:rsid w:val="00DD2026"/>
    <w:rsid w:val="00DD772C"/>
    <w:rsid w:val="00DE25E5"/>
    <w:rsid w:val="00DE6E10"/>
    <w:rsid w:val="00DE7255"/>
    <w:rsid w:val="00DF13FB"/>
    <w:rsid w:val="00DF2861"/>
    <w:rsid w:val="00DF369A"/>
    <w:rsid w:val="00E07BF1"/>
    <w:rsid w:val="00E150EC"/>
    <w:rsid w:val="00E1641C"/>
    <w:rsid w:val="00E2176B"/>
    <w:rsid w:val="00E220BF"/>
    <w:rsid w:val="00E25C59"/>
    <w:rsid w:val="00E4086D"/>
    <w:rsid w:val="00E43D55"/>
    <w:rsid w:val="00E4482C"/>
    <w:rsid w:val="00E50883"/>
    <w:rsid w:val="00E63D74"/>
    <w:rsid w:val="00E64709"/>
    <w:rsid w:val="00E647DB"/>
    <w:rsid w:val="00E770A7"/>
    <w:rsid w:val="00E831BD"/>
    <w:rsid w:val="00E920CF"/>
    <w:rsid w:val="00E9441F"/>
    <w:rsid w:val="00EA66D2"/>
    <w:rsid w:val="00EB09FB"/>
    <w:rsid w:val="00EB366F"/>
    <w:rsid w:val="00EC420C"/>
    <w:rsid w:val="00ED08DD"/>
    <w:rsid w:val="00ED15E6"/>
    <w:rsid w:val="00ED41D4"/>
    <w:rsid w:val="00ED4623"/>
    <w:rsid w:val="00ED59DE"/>
    <w:rsid w:val="00EF303C"/>
    <w:rsid w:val="00EF7460"/>
    <w:rsid w:val="00F07633"/>
    <w:rsid w:val="00F35275"/>
    <w:rsid w:val="00F35518"/>
    <w:rsid w:val="00F43D08"/>
    <w:rsid w:val="00F5069A"/>
    <w:rsid w:val="00F531E6"/>
    <w:rsid w:val="00F60BBD"/>
    <w:rsid w:val="00F60C15"/>
    <w:rsid w:val="00F63980"/>
    <w:rsid w:val="00F65518"/>
    <w:rsid w:val="00F67F28"/>
    <w:rsid w:val="00F74434"/>
    <w:rsid w:val="00F74589"/>
    <w:rsid w:val="00F75A6F"/>
    <w:rsid w:val="00F77A1C"/>
    <w:rsid w:val="00F80B2E"/>
    <w:rsid w:val="00F85563"/>
    <w:rsid w:val="00F85A88"/>
    <w:rsid w:val="00F87809"/>
    <w:rsid w:val="00F92048"/>
    <w:rsid w:val="00FA421A"/>
    <w:rsid w:val="00FC666E"/>
    <w:rsid w:val="00FD19E4"/>
    <w:rsid w:val="00FD76A5"/>
    <w:rsid w:val="00FF1431"/>
    <w:rsid w:val="00FF607A"/>
    <w:rsid w:val="038039ED"/>
    <w:rsid w:val="26395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3932E"/>
  <w15:docId w15:val="{6A3160DF-3BDD-491E-B4EC-91CFFA88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Chars="200" w:firstLine="200"/>
      <w:jc w:val="both"/>
    </w:pPr>
    <w:rPr>
      <w:rFonts w:eastAsia="仿宋" w:cstheme="minorBidi"/>
      <w:kern w:val="2"/>
      <w:sz w:val="28"/>
      <w:szCs w:val="22"/>
    </w:rPr>
  </w:style>
  <w:style w:type="paragraph" w:styleId="1">
    <w:name w:val="heading 1"/>
    <w:basedOn w:val="a"/>
    <w:next w:val="a"/>
    <w:link w:val="10"/>
    <w:uiPriority w:val="9"/>
    <w:qFormat/>
    <w:pPr>
      <w:keepNext/>
      <w:keepLines/>
      <w:spacing w:before="480" w:after="80"/>
      <w:ind w:firstLineChars="0" w:firstLine="0"/>
      <w:jc w:val="left"/>
      <w:outlineLvl w:val="0"/>
    </w:pPr>
    <w:rPr>
      <w:rFonts w:eastAsia="黑体" w:cstheme="majorBidi"/>
      <w:b/>
      <w:sz w:val="32"/>
      <w:szCs w:val="48"/>
    </w:rPr>
  </w:style>
  <w:style w:type="paragraph" w:styleId="2">
    <w:name w:val="heading 2"/>
    <w:basedOn w:val="a"/>
    <w:next w:val="a"/>
    <w:link w:val="20"/>
    <w:uiPriority w:val="9"/>
    <w:unhideWhenUsed/>
    <w:qFormat/>
    <w:pPr>
      <w:keepNext/>
      <w:keepLines/>
      <w:spacing w:before="160" w:after="80"/>
      <w:ind w:firstLineChars="0" w:firstLine="0"/>
      <w:jc w:val="left"/>
      <w:outlineLvl w:val="1"/>
    </w:pPr>
    <w:rPr>
      <w:rFonts w:cstheme="majorBidi"/>
      <w:b/>
      <w:sz w:val="3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365F91" w:themeColor="accent1" w:themeShade="BF"/>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365F9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TOC1">
    <w:name w:val="toc 1"/>
    <w:basedOn w:val="a"/>
    <w:next w:val="a"/>
    <w:autoRedefine/>
    <w:uiPriority w:val="39"/>
    <w:unhideWhenUsed/>
    <w:qFormat/>
    <w:rsid w:val="00ED41D4"/>
    <w:pPr>
      <w:tabs>
        <w:tab w:val="right" w:leader="dot" w:pos="8647"/>
      </w:tabs>
      <w:ind w:firstLineChars="0" w:firstLine="0"/>
    </w:p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Cs w:val="28"/>
    </w:rPr>
  </w:style>
  <w:style w:type="paragraph" w:styleId="TOC2">
    <w:name w:val="toc 2"/>
    <w:basedOn w:val="a"/>
    <w:next w:val="a"/>
    <w:autoRedefine/>
    <w:uiPriority w:val="39"/>
    <w:unhideWhenUsed/>
    <w:qFormat/>
    <w:rsid w:val="00ED41D4"/>
    <w:pPr>
      <w:tabs>
        <w:tab w:val="right" w:leader="dot" w:pos="8647"/>
      </w:tabs>
      <w:ind w:firstLineChars="101" w:firstLine="283"/>
    </w:p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b">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ascii="Times New Roman" w:eastAsia="黑体" w:hAnsi="Times New Roman" w:cstheme="majorBidi"/>
      <w:b/>
      <w:sz w:val="32"/>
      <w:szCs w:val="48"/>
    </w:rPr>
  </w:style>
  <w:style w:type="character" w:customStyle="1" w:styleId="20">
    <w:name w:val="标题 2 字符"/>
    <w:basedOn w:val="a0"/>
    <w:link w:val="2"/>
    <w:uiPriority w:val="9"/>
    <w:qFormat/>
    <w:rPr>
      <w:rFonts w:ascii="Times New Roman" w:eastAsia="仿宋" w:hAnsi="Times New Roman" w:cstheme="majorBidi"/>
      <w:b/>
      <w:sz w:val="3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qFormat/>
    <w:rPr>
      <w:rFonts w:cstheme="majorBidi"/>
      <w:color w:val="365F91" w:themeColor="accent1" w:themeShade="BF"/>
      <w:sz w:val="28"/>
      <w:szCs w:val="28"/>
    </w:rPr>
  </w:style>
  <w:style w:type="character" w:customStyle="1" w:styleId="50">
    <w:name w:val="标题 5 字符"/>
    <w:basedOn w:val="a0"/>
    <w:link w:val="5"/>
    <w:uiPriority w:val="9"/>
    <w:semiHidden/>
    <w:qFormat/>
    <w:rPr>
      <w:rFonts w:cstheme="majorBidi"/>
      <w:color w:val="365F91" w:themeColor="accent1" w:themeShade="BF"/>
      <w:sz w:val="24"/>
      <w:szCs w:val="24"/>
    </w:rPr>
  </w:style>
  <w:style w:type="character" w:customStyle="1" w:styleId="60">
    <w:name w:val="标题 6 字符"/>
    <w:basedOn w:val="a0"/>
    <w:link w:val="6"/>
    <w:uiPriority w:val="9"/>
    <w:semiHidden/>
    <w:qFormat/>
    <w:rPr>
      <w:rFonts w:cstheme="majorBidi"/>
      <w:b/>
      <w:bCs/>
      <w:color w:val="365F9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365F91" w:themeColor="accent1" w:themeShade="BF"/>
    </w:rPr>
  </w:style>
  <w:style w:type="paragraph" w:styleId="af">
    <w:name w:val="Intense Quote"/>
    <w:basedOn w:val="a"/>
    <w:next w:val="a"/>
    <w:link w:val="af0"/>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0">
    <w:name w:val="明显引用 字符"/>
    <w:basedOn w:val="a0"/>
    <w:link w:val="af"/>
    <w:uiPriority w:val="30"/>
    <w:qFormat/>
    <w:rPr>
      <w:i/>
      <w:iCs/>
      <w:color w:val="365F91" w:themeColor="accent1" w:themeShade="BF"/>
    </w:rPr>
  </w:style>
  <w:style w:type="character" w:customStyle="1" w:styleId="12">
    <w:name w:val="明显参考1"/>
    <w:basedOn w:val="a0"/>
    <w:uiPriority w:val="32"/>
    <w:qFormat/>
    <w:rPr>
      <w:b/>
      <w:bCs/>
      <w:smallCaps/>
      <w:color w:val="365F9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TOC10">
    <w:name w:val="TOC 标题1"/>
    <w:basedOn w:val="1"/>
    <w:next w:val="a"/>
    <w:uiPriority w:val="39"/>
    <w:unhideWhenUsed/>
    <w:qFormat/>
    <w:pPr>
      <w:widowControl/>
      <w:spacing w:before="240" w:after="0" w:line="259" w:lineRule="auto"/>
      <w:outlineLvl w:val="9"/>
    </w:pPr>
    <w:rPr>
      <w:rFonts w:asciiTheme="majorHAnsi" w:eastAsiaTheme="majorEastAsia" w:hAnsiTheme="majorHAnsi"/>
      <w:b w:val="0"/>
      <w:color w:val="365F91" w:themeColor="accent1" w:themeShade="BF"/>
      <w:kern w:val="0"/>
      <w:szCs w:val="32"/>
    </w:rPr>
  </w:style>
  <w:style w:type="paragraph" w:styleId="af1">
    <w:name w:val="Revision"/>
    <w:hidden/>
    <w:uiPriority w:val="99"/>
    <w:unhideWhenUsed/>
    <w:rsid w:val="004263FC"/>
    <w:rPr>
      <w:rFonts w:eastAsia="仿宋" w:cstheme="minorBidi"/>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79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45771-05D4-4BBD-94F9-E253E5F52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21</Pages>
  <Words>1930</Words>
  <Characters>11003</Characters>
  <Application>Microsoft Office Word</Application>
  <DocSecurity>0</DocSecurity>
  <Lines>91</Lines>
  <Paragraphs>25</Paragraphs>
  <ScaleCrop>false</ScaleCrop>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刘铖 薛</dc:creator>
  <cp:lastModifiedBy>FE wang</cp:lastModifiedBy>
  <cp:revision>106</cp:revision>
  <dcterms:created xsi:type="dcterms:W3CDTF">2025-11-24T07:51:00Z</dcterms:created>
  <dcterms:modified xsi:type="dcterms:W3CDTF">2026-01-21T03:40:00Z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eyJoZGlkIjoiYjRmMDFmZjE2OWNkYTNmZWE3MzAxYzg0ZTViMTVlOWYiLCJ1c2VySWQiOiIyNDQ3MDQzNjAifQ==</vt:lpwstr>
  </property>
  <property fmtid="{D5CDD505-2E9C-101B-9397-08002B2CF9AE}" pid="3" name="KSOProductBuildVer">
    <vt:lpwstr>2052-12.1.0.22529</vt:lpwstr>
  </property>
  <property fmtid="{D5CDD505-2E9C-101B-9397-08002B2CF9AE}" pid="4" name="ICV">
    <vt:lpwstr>175E88C00BC5496B9CBEC16DA9253531_12</vt:lpwstr>
  </property>
</Properties>
</file>