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8B8513">
      <w:pPr>
        <w:ind w:firstLine="0" w:firstLineChars="0"/>
        <w:jc w:val="center"/>
        <w:rPr>
          <w:sz w:val="32"/>
        </w:rPr>
      </w:pPr>
      <w:bookmarkStart w:id="23" w:name="_GoBack"/>
      <w:bookmarkEnd w:id="23"/>
    </w:p>
    <w:p w14:paraId="067D1A86">
      <w:pPr>
        <w:ind w:firstLine="0" w:firstLineChars="0"/>
        <w:jc w:val="center"/>
        <w:rPr>
          <w:sz w:val="32"/>
        </w:rPr>
      </w:pPr>
    </w:p>
    <w:p w14:paraId="086F3A62">
      <w:pPr>
        <w:snapToGrid w:val="0"/>
        <w:ind w:firstLine="0" w:firstLineChars="0"/>
        <w:rPr>
          <w:rFonts w:ascii="宋体" w:hAnsi="宋体"/>
          <w:sz w:val="44"/>
          <w:szCs w:val="44"/>
        </w:rPr>
      </w:pPr>
      <w:r>
        <w:rPr>
          <w:rFonts w:hint="eastAsia" w:ascii="宋体" w:hAnsi="宋体"/>
          <w:sz w:val="44"/>
          <w:szCs w:val="44"/>
        </w:rPr>
        <w:t>《重金属污染土壤异位旋流淋洗技术规范》</w:t>
      </w:r>
    </w:p>
    <w:p w14:paraId="2E1F81D1">
      <w:pPr>
        <w:snapToGrid w:val="0"/>
        <w:ind w:firstLine="880"/>
        <w:jc w:val="center"/>
        <w:rPr>
          <w:rFonts w:ascii="宋体" w:hAnsi="宋体"/>
          <w:sz w:val="44"/>
          <w:szCs w:val="44"/>
        </w:rPr>
      </w:pPr>
      <w:r>
        <w:rPr>
          <w:rFonts w:hint="eastAsia" w:ascii="宋体" w:hAnsi="宋体"/>
          <w:sz w:val="44"/>
          <w:szCs w:val="44"/>
        </w:rPr>
        <w:t>（标准讨论稿）</w:t>
      </w:r>
    </w:p>
    <w:p w14:paraId="09C3FBF5">
      <w:pPr>
        <w:snapToGrid w:val="0"/>
        <w:ind w:firstLine="880"/>
        <w:jc w:val="center"/>
        <w:rPr>
          <w:rFonts w:ascii="宋体" w:hAnsi="宋体"/>
          <w:sz w:val="44"/>
          <w:szCs w:val="44"/>
        </w:rPr>
      </w:pPr>
      <w:r>
        <w:rPr>
          <w:rFonts w:hint="eastAsia" w:ascii="宋体" w:hAnsi="宋体"/>
          <w:sz w:val="44"/>
          <w:szCs w:val="44"/>
        </w:rPr>
        <w:t>编制说明</w:t>
      </w:r>
    </w:p>
    <w:p w14:paraId="3EA58EFD">
      <w:pPr>
        <w:snapToGrid w:val="0"/>
        <w:ind w:firstLine="880"/>
        <w:jc w:val="center"/>
        <w:rPr>
          <w:rFonts w:ascii="宋体" w:hAnsi="宋体"/>
          <w:sz w:val="44"/>
          <w:szCs w:val="44"/>
        </w:rPr>
      </w:pPr>
    </w:p>
    <w:p w14:paraId="706B6775">
      <w:pPr>
        <w:snapToGrid w:val="0"/>
        <w:ind w:firstLine="880"/>
        <w:jc w:val="center"/>
        <w:rPr>
          <w:rFonts w:ascii="宋体" w:hAnsi="宋体"/>
          <w:sz w:val="44"/>
          <w:szCs w:val="44"/>
        </w:rPr>
      </w:pPr>
    </w:p>
    <w:p w14:paraId="636CF4C1">
      <w:pPr>
        <w:snapToGrid w:val="0"/>
        <w:ind w:firstLine="640"/>
        <w:jc w:val="center"/>
        <w:rPr>
          <w:sz w:val="32"/>
        </w:rPr>
      </w:pPr>
    </w:p>
    <w:p w14:paraId="65F676B0">
      <w:pPr>
        <w:snapToGrid w:val="0"/>
        <w:ind w:firstLine="640"/>
        <w:jc w:val="center"/>
        <w:rPr>
          <w:sz w:val="32"/>
        </w:rPr>
      </w:pPr>
    </w:p>
    <w:p w14:paraId="3B343154">
      <w:pPr>
        <w:snapToGrid w:val="0"/>
        <w:ind w:firstLine="640"/>
        <w:jc w:val="center"/>
        <w:rPr>
          <w:sz w:val="32"/>
        </w:rPr>
      </w:pPr>
    </w:p>
    <w:p w14:paraId="5C5532DD">
      <w:pPr>
        <w:snapToGrid w:val="0"/>
        <w:ind w:firstLine="640"/>
        <w:jc w:val="center"/>
        <w:rPr>
          <w:sz w:val="32"/>
        </w:rPr>
      </w:pPr>
    </w:p>
    <w:p w14:paraId="4B8D2FD6">
      <w:pPr>
        <w:snapToGrid w:val="0"/>
        <w:ind w:firstLine="640"/>
        <w:jc w:val="center"/>
        <w:rPr>
          <w:sz w:val="32"/>
        </w:rPr>
      </w:pPr>
    </w:p>
    <w:p w14:paraId="0270FFA2">
      <w:pPr>
        <w:snapToGrid w:val="0"/>
        <w:ind w:firstLine="640"/>
        <w:jc w:val="center"/>
        <w:rPr>
          <w:sz w:val="32"/>
        </w:rPr>
      </w:pPr>
    </w:p>
    <w:p w14:paraId="440BA9FE">
      <w:pPr>
        <w:snapToGrid w:val="0"/>
        <w:ind w:firstLine="640"/>
        <w:jc w:val="center"/>
        <w:rPr>
          <w:sz w:val="32"/>
        </w:rPr>
      </w:pPr>
    </w:p>
    <w:p w14:paraId="0E853B56">
      <w:pPr>
        <w:snapToGrid w:val="0"/>
        <w:ind w:firstLine="640"/>
        <w:jc w:val="center"/>
        <w:rPr>
          <w:sz w:val="32"/>
        </w:rPr>
      </w:pPr>
    </w:p>
    <w:p w14:paraId="2842165B">
      <w:pPr>
        <w:snapToGrid w:val="0"/>
        <w:ind w:firstLine="0" w:firstLineChars="0"/>
        <w:rPr>
          <w:sz w:val="32"/>
        </w:rPr>
      </w:pPr>
    </w:p>
    <w:p w14:paraId="0A6058CF">
      <w:pPr>
        <w:snapToGrid w:val="0"/>
        <w:ind w:firstLine="0" w:firstLineChars="0"/>
        <w:jc w:val="center"/>
        <w:rPr>
          <w:sz w:val="32"/>
        </w:rPr>
      </w:pPr>
    </w:p>
    <w:p w14:paraId="0766CEAA">
      <w:pPr>
        <w:snapToGrid w:val="0"/>
        <w:ind w:firstLine="0" w:firstLineChars="0"/>
        <w:jc w:val="center"/>
        <w:rPr>
          <w:sz w:val="32"/>
        </w:rPr>
      </w:pPr>
    </w:p>
    <w:p w14:paraId="09CC0DD8">
      <w:pPr>
        <w:snapToGrid w:val="0"/>
        <w:ind w:firstLine="0" w:firstLineChars="0"/>
        <w:jc w:val="center"/>
        <w:rPr>
          <w:sz w:val="32"/>
        </w:rPr>
      </w:pPr>
    </w:p>
    <w:p w14:paraId="665384A7">
      <w:pPr>
        <w:snapToGrid w:val="0"/>
        <w:ind w:firstLine="0" w:firstLineChars="0"/>
        <w:jc w:val="center"/>
        <w:rPr>
          <w:sz w:val="32"/>
        </w:rPr>
      </w:pPr>
    </w:p>
    <w:p w14:paraId="2D3BB612">
      <w:pPr>
        <w:snapToGrid w:val="0"/>
        <w:ind w:firstLine="640"/>
        <w:jc w:val="center"/>
        <w:rPr>
          <w:sz w:val="32"/>
        </w:rPr>
      </w:pPr>
      <w:r>
        <w:rPr>
          <w:rFonts w:hint="eastAsia"/>
          <w:sz w:val="32"/>
        </w:rPr>
        <w:t>《重金属污染土壤异位旋流淋洗技术规范》编制组</w:t>
      </w:r>
    </w:p>
    <w:p w14:paraId="064C8B45">
      <w:pPr>
        <w:autoSpaceDE w:val="0"/>
        <w:autoSpaceDN w:val="0"/>
        <w:adjustRightInd w:val="0"/>
        <w:snapToGrid w:val="0"/>
        <w:ind w:firstLine="560"/>
        <w:jc w:val="center"/>
        <w:rPr>
          <w:rFonts w:ascii="宋体" w:cs="宋体"/>
          <w:kern w:val="0"/>
          <w:sz w:val="28"/>
          <w:szCs w:val="28"/>
        </w:rPr>
      </w:pPr>
      <w:r>
        <w:rPr>
          <w:rFonts w:hint="eastAsia" w:ascii="宋体" w:cs="宋体"/>
          <w:kern w:val="0"/>
          <w:sz w:val="28"/>
          <w:szCs w:val="28"/>
        </w:rPr>
        <w:t>二〇二五年四月</w:t>
      </w:r>
    </w:p>
    <w:p w14:paraId="026C6595">
      <w:pPr>
        <w:ind w:firstLine="0" w:firstLineChars="0"/>
        <w:jc w:val="center"/>
        <w:rPr>
          <w:rFonts w:ascii="黑体" w:hAnsi="黑体" w:eastAsia="黑体" w:cs="黑体"/>
          <w:sz w:val="36"/>
          <w:szCs w:val="36"/>
        </w:rPr>
      </w:pPr>
      <w:r>
        <w:rPr>
          <w:rFonts w:hint="eastAsia" w:ascii="黑体" w:hAnsi="黑体" w:eastAsia="黑体" w:cs="黑体"/>
          <w:sz w:val="36"/>
          <w:szCs w:val="36"/>
        </w:rPr>
        <w:t>目  次</w:t>
      </w:r>
    </w:p>
    <w:p w14:paraId="1381B982">
      <w:pPr>
        <w:ind w:firstLine="720"/>
        <w:jc w:val="center"/>
        <w:rPr>
          <w:rFonts w:ascii="宋体" w:hAnsi="宋体"/>
          <w:sz w:val="36"/>
          <w:szCs w:val="36"/>
        </w:rPr>
      </w:pPr>
    </w:p>
    <w:p w14:paraId="7DF66B80">
      <w:pPr>
        <w:pStyle w:val="27"/>
        <w:tabs>
          <w:tab w:val="left" w:pos="840"/>
          <w:tab w:val="right" w:leader="dot" w:pos="8296"/>
        </w:tabs>
        <w:ind w:firstLine="420"/>
        <w:rPr>
          <w:rFonts w:asciiTheme="minorEastAsia" w:hAnsiTheme="minorEastAsia" w:eastAsiaTheme="minorEastAsia" w:cstheme="minorBidi"/>
          <w:b w:val="0"/>
          <w:bCs w:val="0"/>
          <w:caps w:val="0"/>
          <w:sz w:val="21"/>
          <w:szCs w:val="21"/>
          <w14:ligatures w14:val="standardContextual"/>
        </w:rPr>
      </w:pPr>
      <w:r>
        <w:rPr>
          <w:rFonts w:hint="eastAsia" w:ascii="宋体" w:hAnsi="宋体" w:cs="宋体"/>
          <w:b w:val="0"/>
          <w:bCs w:val="0"/>
          <w:sz w:val="21"/>
          <w:szCs w:val="21"/>
        </w:rPr>
        <w:fldChar w:fldCharType="begin"/>
      </w:r>
      <w:r>
        <w:rPr>
          <w:rFonts w:hint="eastAsia" w:ascii="宋体" w:hAnsi="宋体" w:cs="宋体"/>
          <w:b w:val="0"/>
          <w:bCs w:val="0"/>
          <w:sz w:val="21"/>
          <w:szCs w:val="21"/>
        </w:rPr>
        <w:instrText xml:space="preserve"> TOC \o "1-1" \h \z \u </w:instrText>
      </w:r>
      <w:r>
        <w:rPr>
          <w:rFonts w:hint="eastAsia" w:ascii="宋体" w:hAnsi="宋体" w:cs="宋体"/>
          <w:b w:val="0"/>
          <w:bCs w:val="0"/>
          <w:sz w:val="21"/>
          <w:szCs w:val="21"/>
        </w:rPr>
        <w:fldChar w:fldCharType="separate"/>
      </w:r>
      <w:r>
        <w:fldChar w:fldCharType="begin"/>
      </w:r>
      <w:r>
        <w:instrText xml:space="preserve"> HYPERLINK \l "_Toc198753629" </w:instrText>
      </w:r>
      <w:r>
        <w:fldChar w:fldCharType="separate"/>
      </w:r>
      <w:r>
        <w:rPr>
          <w:rStyle w:val="47"/>
          <w:rFonts w:asciiTheme="minorEastAsia" w:hAnsiTheme="minorEastAsia" w:eastAsiaTheme="minorEastAsia"/>
          <w:b w:val="0"/>
          <w:bCs w:val="0"/>
          <w:sz w:val="21"/>
          <w:szCs w:val="21"/>
          <w:lang w:val="zh-CN"/>
        </w:rPr>
        <w:t>1</w:t>
      </w:r>
      <w:r>
        <w:rPr>
          <w:rFonts w:asciiTheme="minorEastAsia" w:hAnsiTheme="minorEastAsia" w:eastAsiaTheme="minorEastAsia" w:cstheme="minorBidi"/>
          <w:b w:val="0"/>
          <w:bCs w:val="0"/>
          <w:caps w:val="0"/>
          <w:sz w:val="21"/>
          <w:szCs w:val="21"/>
          <w14:ligatures w14:val="standardContextual"/>
        </w:rPr>
        <w:tab/>
      </w:r>
      <w:r>
        <w:rPr>
          <w:rStyle w:val="47"/>
          <w:rFonts w:asciiTheme="minorEastAsia" w:hAnsiTheme="minorEastAsia" w:eastAsiaTheme="minorEastAsia"/>
          <w:b w:val="0"/>
          <w:bCs w:val="0"/>
          <w:sz w:val="21"/>
          <w:szCs w:val="21"/>
        </w:rPr>
        <w:t>工作简况</w:t>
      </w:r>
      <w:r>
        <w:rPr>
          <w:rFonts w:asciiTheme="minorEastAsia" w:hAnsiTheme="minorEastAsia" w:eastAsiaTheme="minorEastAsia"/>
          <w:b w:val="0"/>
          <w:bCs w:val="0"/>
          <w:sz w:val="21"/>
          <w:szCs w:val="21"/>
        </w:rPr>
        <w:tab/>
      </w:r>
      <w:r>
        <w:rPr>
          <w:rFonts w:asciiTheme="minorEastAsia" w:hAnsiTheme="minorEastAsia" w:eastAsiaTheme="minorEastAsia"/>
          <w:b w:val="0"/>
          <w:bCs w:val="0"/>
          <w:sz w:val="21"/>
          <w:szCs w:val="21"/>
        </w:rPr>
        <w:fldChar w:fldCharType="begin"/>
      </w:r>
      <w:r>
        <w:rPr>
          <w:rFonts w:asciiTheme="minorEastAsia" w:hAnsiTheme="minorEastAsia" w:eastAsiaTheme="minorEastAsia"/>
          <w:b w:val="0"/>
          <w:bCs w:val="0"/>
          <w:sz w:val="21"/>
          <w:szCs w:val="21"/>
        </w:rPr>
        <w:instrText xml:space="preserve"> PAGEREF _Toc198753629 \h </w:instrText>
      </w:r>
      <w:r>
        <w:rPr>
          <w:rFonts w:asciiTheme="minorEastAsia" w:hAnsiTheme="minorEastAsia" w:eastAsiaTheme="minorEastAsia"/>
          <w:b w:val="0"/>
          <w:bCs w:val="0"/>
          <w:sz w:val="21"/>
          <w:szCs w:val="21"/>
        </w:rPr>
        <w:fldChar w:fldCharType="separate"/>
      </w:r>
      <w:r>
        <w:rPr>
          <w:rFonts w:asciiTheme="minorEastAsia" w:hAnsiTheme="minorEastAsia" w:eastAsiaTheme="minorEastAsia"/>
          <w:b w:val="0"/>
          <w:bCs w:val="0"/>
          <w:sz w:val="21"/>
          <w:szCs w:val="21"/>
        </w:rPr>
        <w:t>3</w:t>
      </w:r>
      <w:r>
        <w:rPr>
          <w:rFonts w:asciiTheme="minorEastAsia" w:hAnsiTheme="minorEastAsia" w:eastAsiaTheme="minorEastAsia"/>
          <w:b w:val="0"/>
          <w:bCs w:val="0"/>
          <w:sz w:val="21"/>
          <w:szCs w:val="21"/>
        </w:rPr>
        <w:fldChar w:fldCharType="end"/>
      </w:r>
      <w:r>
        <w:rPr>
          <w:rFonts w:asciiTheme="minorEastAsia" w:hAnsiTheme="minorEastAsia" w:eastAsiaTheme="minorEastAsia"/>
          <w:b w:val="0"/>
          <w:bCs w:val="0"/>
          <w:sz w:val="21"/>
          <w:szCs w:val="21"/>
        </w:rPr>
        <w:fldChar w:fldCharType="end"/>
      </w:r>
    </w:p>
    <w:p w14:paraId="71870A7B">
      <w:pPr>
        <w:pStyle w:val="27"/>
        <w:tabs>
          <w:tab w:val="left" w:pos="840"/>
          <w:tab w:val="right" w:leader="dot" w:pos="8296"/>
        </w:tabs>
        <w:ind w:firstLine="402"/>
        <w:rPr>
          <w:rFonts w:asciiTheme="minorEastAsia" w:hAnsiTheme="minorEastAsia" w:eastAsiaTheme="minorEastAsia" w:cstheme="minorBidi"/>
          <w:b w:val="0"/>
          <w:bCs w:val="0"/>
          <w:caps w:val="0"/>
          <w:sz w:val="21"/>
          <w:szCs w:val="21"/>
          <w14:ligatures w14:val="standardContextual"/>
        </w:rPr>
      </w:pPr>
      <w:r>
        <w:fldChar w:fldCharType="begin"/>
      </w:r>
      <w:r>
        <w:instrText xml:space="preserve"> HYPERLINK \l "_Toc198753630" </w:instrText>
      </w:r>
      <w:r>
        <w:fldChar w:fldCharType="separate"/>
      </w:r>
      <w:r>
        <w:rPr>
          <w:rStyle w:val="47"/>
          <w:rFonts w:asciiTheme="minorEastAsia" w:hAnsiTheme="minorEastAsia" w:eastAsiaTheme="minorEastAsia"/>
          <w:b w:val="0"/>
          <w:bCs w:val="0"/>
          <w:sz w:val="21"/>
          <w:szCs w:val="21"/>
        </w:rPr>
        <w:t>2</w:t>
      </w:r>
      <w:r>
        <w:rPr>
          <w:rFonts w:asciiTheme="minorEastAsia" w:hAnsiTheme="minorEastAsia" w:eastAsiaTheme="minorEastAsia" w:cstheme="minorBidi"/>
          <w:b w:val="0"/>
          <w:bCs w:val="0"/>
          <w:caps w:val="0"/>
          <w:sz w:val="21"/>
          <w:szCs w:val="21"/>
          <w14:ligatures w14:val="standardContextual"/>
        </w:rPr>
        <w:tab/>
      </w:r>
      <w:r>
        <w:rPr>
          <w:rStyle w:val="47"/>
          <w:rFonts w:asciiTheme="minorEastAsia" w:hAnsiTheme="minorEastAsia" w:eastAsiaTheme="minorEastAsia"/>
          <w:b w:val="0"/>
          <w:bCs w:val="0"/>
          <w:sz w:val="21"/>
          <w:szCs w:val="21"/>
        </w:rPr>
        <w:t>标准制定必要性、编制依据、编制原则</w:t>
      </w:r>
      <w:r>
        <w:rPr>
          <w:rFonts w:asciiTheme="minorEastAsia" w:hAnsiTheme="minorEastAsia" w:eastAsiaTheme="minorEastAsia"/>
          <w:b w:val="0"/>
          <w:bCs w:val="0"/>
          <w:sz w:val="21"/>
          <w:szCs w:val="21"/>
        </w:rPr>
        <w:tab/>
      </w:r>
      <w:r>
        <w:rPr>
          <w:rFonts w:asciiTheme="minorEastAsia" w:hAnsiTheme="minorEastAsia" w:eastAsiaTheme="minorEastAsia"/>
          <w:b w:val="0"/>
          <w:bCs w:val="0"/>
          <w:sz w:val="21"/>
          <w:szCs w:val="21"/>
        </w:rPr>
        <w:fldChar w:fldCharType="begin"/>
      </w:r>
      <w:r>
        <w:rPr>
          <w:rFonts w:asciiTheme="minorEastAsia" w:hAnsiTheme="minorEastAsia" w:eastAsiaTheme="minorEastAsia"/>
          <w:b w:val="0"/>
          <w:bCs w:val="0"/>
          <w:sz w:val="21"/>
          <w:szCs w:val="21"/>
        </w:rPr>
        <w:instrText xml:space="preserve"> PAGEREF _Toc198753630 \h </w:instrText>
      </w:r>
      <w:r>
        <w:rPr>
          <w:rFonts w:asciiTheme="minorEastAsia" w:hAnsiTheme="minorEastAsia" w:eastAsiaTheme="minorEastAsia"/>
          <w:b w:val="0"/>
          <w:bCs w:val="0"/>
          <w:sz w:val="21"/>
          <w:szCs w:val="21"/>
        </w:rPr>
        <w:fldChar w:fldCharType="separate"/>
      </w:r>
      <w:r>
        <w:rPr>
          <w:rFonts w:asciiTheme="minorEastAsia" w:hAnsiTheme="minorEastAsia" w:eastAsiaTheme="minorEastAsia"/>
          <w:b w:val="0"/>
          <w:bCs w:val="0"/>
          <w:sz w:val="21"/>
          <w:szCs w:val="21"/>
        </w:rPr>
        <w:t>4</w:t>
      </w:r>
      <w:r>
        <w:rPr>
          <w:rFonts w:asciiTheme="minorEastAsia" w:hAnsiTheme="minorEastAsia" w:eastAsiaTheme="minorEastAsia"/>
          <w:b w:val="0"/>
          <w:bCs w:val="0"/>
          <w:sz w:val="21"/>
          <w:szCs w:val="21"/>
        </w:rPr>
        <w:fldChar w:fldCharType="end"/>
      </w:r>
      <w:r>
        <w:rPr>
          <w:rFonts w:asciiTheme="minorEastAsia" w:hAnsiTheme="minorEastAsia" w:eastAsiaTheme="minorEastAsia"/>
          <w:b w:val="0"/>
          <w:bCs w:val="0"/>
          <w:sz w:val="21"/>
          <w:szCs w:val="21"/>
        </w:rPr>
        <w:fldChar w:fldCharType="end"/>
      </w:r>
    </w:p>
    <w:p w14:paraId="64A9F529">
      <w:pPr>
        <w:pStyle w:val="27"/>
        <w:tabs>
          <w:tab w:val="left" w:pos="840"/>
          <w:tab w:val="right" w:leader="dot" w:pos="8296"/>
        </w:tabs>
        <w:ind w:firstLine="402"/>
        <w:rPr>
          <w:rFonts w:asciiTheme="minorEastAsia" w:hAnsiTheme="minorEastAsia" w:eastAsiaTheme="minorEastAsia" w:cstheme="minorBidi"/>
          <w:b w:val="0"/>
          <w:bCs w:val="0"/>
          <w:caps w:val="0"/>
          <w:sz w:val="21"/>
          <w:szCs w:val="21"/>
          <w14:ligatures w14:val="standardContextual"/>
        </w:rPr>
      </w:pPr>
      <w:r>
        <w:fldChar w:fldCharType="begin"/>
      </w:r>
      <w:r>
        <w:instrText xml:space="preserve"> HYPERLINK \l "_Toc198753631" </w:instrText>
      </w:r>
      <w:r>
        <w:fldChar w:fldCharType="separate"/>
      </w:r>
      <w:r>
        <w:rPr>
          <w:rStyle w:val="47"/>
          <w:rFonts w:asciiTheme="minorEastAsia" w:hAnsiTheme="minorEastAsia" w:eastAsiaTheme="minorEastAsia"/>
          <w:b w:val="0"/>
          <w:bCs w:val="0"/>
          <w:sz w:val="21"/>
          <w:szCs w:val="21"/>
        </w:rPr>
        <w:t>3</w:t>
      </w:r>
      <w:r>
        <w:rPr>
          <w:rFonts w:asciiTheme="minorEastAsia" w:hAnsiTheme="minorEastAsia" w:eastAsiaTheme="minorEastAsia" w:cstheme="minorBidi"/>
          <w:b w:val="0"/>
          <w:bCs w:val="0"/>
          <w:caps w:val="0"/>
          <w:sz w:val="21"/>
          <w:szCs w:val="21"/>
          <w14:ligatures w14:val="standardContextual"/>
        </w:rPr>
        <w:tab/>
      </w:r>
      <w:r>
        <w:rPr>
          <w:rStyle w:val="47"/>
          <w:rFonts w:asciiTheme="minorEastAsia" w:hAnsiTheme="minorEastAsia" w:eastAsiaTheme="minorEastAsia"/>
          <w:b w:val="0"/>
          <w:bCs w:val="0"/>
          <w:sz w:val="21"/>
          <w:szCs w:val="21"/>
        </w:rPr>
        <w:t>国内外相关标准研究</w:t>
      </w:r>
      <w:r>
        <w:rPr>
          <w:rFonts w:asciiTheme="minorEastAsia" w:hAnsiTheme="minorEastAsia" w:eastAsiaTheme="minorEastAsia"/>
          <w:b w:val="0"/>
          <w:bCs w:val="0"/>
          <w:sz w:val="21"/>
          <w:szCs w:val="21"/>
        </w:rPr>
        <w:tab/>
      </w:r>
      <w:r>
        <w:rPr>
          <w:rFonts w:asciiTheme="minorEastAsia" w:hAnsiTheme="minorEastAsia" w:eastAsiaTheme="minorEastAsia"/>
          <w:b w:val="0"/>
          <w:bCs w:val="0"/>
          <w:sz w:val="21"/>
          <w:szCs w:val="21"/>
        </w:rPr>
        <w:fldChar w:fldCharType="begin"/>
      </w:r>
      <w:r>
        <w:rPr>
          <w:rFonts w:asciiTheme="minorEastAsia" w:hAnsiTheme="minorEastAsia" w:eastAsiaTheme="minorEastAsia"/>
          <w:b w:val="0"/>
          <w:bCs w:val="0"/>
          <w:sz w:val="21"/>
          <w:szCs w:val="21"/>
        </w:rPr>
        <w:instrText xml:space="preserve"> PAGEREF _Toc198753631 \h </w:instrText>
      </w:r>
      <w:r>
        <w:rPr>
          <w:rFonts w:asciiTheme="minorEastAsia" w:hAnsiTheme="minorEastAsia" w:eastAsiaTheme="minorEastAsia"/>
          <w:b w:val="0"/>
          <w:bCs w:val="0"/>
          <w:sz w:val="21"/>
          <w:szCs w:val="21"/>
        </w:rPr>
        <w:fldChar w:fldCharType="separate"/>
      </w:r>
      <w:r>
        <w:rPr>
          <w:rFonts w:asciiTheme="minorEastAsia" w:hAnsiTheme="minorEastAsia" w:eastAsiaTheme="minorEastAsia"/>
          <w:b w:val="0"/>
          <w:bCs w:val="0"/>
          <w:sz w:val="21"/>
          <w:szCs w:val="21"/>
        </w:rPr>
        <w:t>6</w:t>
      </w:r>
      <w:r>
        <w:rPr>
          <w:rFonts w:asciiTheme="minorEastAsia" w:hAnsiTheme="minorEastAsia" w:eastAsiaTheme="minorEastAsia"/>
          <w:b w:val="0"/>
          <w:bCs w:val="0"/>
          <w:sz w:val="21"/>
          <w:szCs w:val="21"/>
        </w:rPr>
        <w:fldChar w:fldCharType="end"/>
      </w:r>
      <w:r>
        <w:rPr>
          <w:rFonts w:asciiTheme="minorEastAsia" w:hAnsiTheme="minorEastAsia" w:eastAsiaTheme="minorEastAsia"/>
          <w:b w:val="0"/>
          <w:bCs w:val="0"/>
          <w:sz w:val="21"/>
          <w:szCs w:val="21"/>
        </w:rPr>
        <w:fldChar w:fldCharType="end"/>
      </w:r>
    </w:p>
    <w:p w14:paraId="672F160F">
      <w:pPr>
        <w:pStyle w:val="27"/>
        <w:tabs>
          <w:tab w:val="left" w:pos="840"/>
          <w:tab w:val="right" w:leader="dot" w:pos="8296"/>
        </w:tabs>
        <w:ind w:firstLine="402"/>
        <w:rPr>
          <w:rFonts w:asciiTheme="minorEastAsia" w:hAnsiTheme="minorEastAsia" w:eastAsiaTheme="minorEastAsia" w:cstheme="minorBidi"/>
          <w:b w:val="0"/>
          <w:bCs w:val="0"/>
          <w:caps w:val="0"/>
          <w:sz w:val="21"/>
          <w:szCs w:val="21"/>
          <w14:ligatures w14:val="standardContextual"/>
        </w:rPr>
      </w:pPr>
      <w:r>
        <w:fldChar w:fldCharType="begin"/>
      </w:r>
      <w:r>
        <w:instrText xml:space="preserve"> HYPERLINK \l "_Toc198753632" </w:instrText>
      </w:r>
      <w:r>
        <w:fldChar w:fldCharType="separate"/>
      </w:r>
      <w:r>
        <w:rPr>
          <w:rStyle w:val="47"/>
          <w:rFonts w:asciiTheme="minorEastAsia" w:hAnsiTheme="minorEastAsia" w:eastAsiaTheme="minorEastAsia"/>
          <w:b w:val="0"/>
          <w:bCs w:val="0"/>
          <w:sz w:val="21"/>
          <w:szCs w:val="21"/>
        </w:rPr>
        <w:t>4</w:t>
      </w:r>
      <w:r>
        <w:rPr>
          <w:rFonts w:asciiTheme="minorEastAsia" w:hAnsiTheme="minorEastAsia" w:eastAsiaTheme="minorEastAsia" w:cstheme="minorBidi"/>
          <w:b w:val="0"/>
          <w:bCs w:val="0"/>
          <w:caps w:val="0"/>
          <w:sz w:val="21"/>
          <w:szCs w:val="21"/>
          <w14:ligatures w14:val="standardContextual"/>
        </w:rPr>
        <w:tab/>
      </w:r>
      <w:r>
        <w:rPr>
          <w:rStyle w:val="47"/>
          <w:rFonts w:asciiTheme="minorEastAsia" w:hAnsiTheme="minorEastAsia" w:eastAsiaTheme="minorEastAsia"/>
          <w:b w:val="0"/>
          <w:bCs w:val="0"/>
          <w:sz w:val="21"/>
          <w:szCs w:val="21"/>
        </w:rPr>
        <w:t>同类工程现状调研</w:t>
      </w:r>
      <w:r>
        <w:rPr>
          <w:rFonts w:asciiTheme="minorEastAsia" w:hAnsiTheme="minorEastAsia" w:eastAsiaTheme="minorEastAsia"/>
          <w:b w:val="0"/>
          <w:bCs w:val="0"/>
          <w:sz w:val="21"/>
          <w:szCs w:val="21"/>
        </w:rPr>
        <w:tab/>
      </w:r>
      <w:r>
        <w:rPr>
          <w:rFonts w:asciiTheme="minorEastAsia" w:hAnsiTheme="minorEastAsia" w:eastAsiaTheme="minorEastAsia"/>
          <w:b w:val="0"/>
          <w:bCs w:val="0"/>
          <w:sz w:val="21"/>
          <w:szCs w:val="21"/>
        </w:rPr>
        <w:fldChar w:fldCharType="begin"/>
      </w:r>
      <w:r>
        <w:rPr>
          <w:rFonts w:asciiTheme="minorEastAsia" w:hAnsiTheme="minorEastAsia" w:eastAsiaTheme="minorEastAsia"/>
          <w:b w:val="0"/>
          <w:bCs w:val="0"/>
          <w:sz w:val="21"/>
          <w:szCs w:val="21"/>
        </w:rPr>
        <w:instrText xml:space="preserve"> PAGEREF _Toc198753632 \h </w:instrText>
      </w:r>
      <w:r>
        <w:rPr>
          <w:rFonts w:asciiTheme="minorEastAsia" w:hAnsiTheme="minorEastAsia" w:eastAsiaTheme="minorEastAsia"/>
          <w:b w:val="0"/>
          <w:bCs w:val="0"/>
          <w:sz w:val="21"/>
          <w:szCs w:val="21"/>
        </w:rPr>
        <w:fldChar w:fldCharType="separate"/>
      </w:r>
      <w:r>
        <w:rPr>
          <w:rFonts w:asciiTheme="minorEastAsia" w:hAnsiTheme="minorEastAsia" w:eastAsiaTheme="minorEastAsia"/>
          <w:b w:val="0"/>
          <w:bCs w:val="0"/>
          <w:sz w:val="21"/>
          <w:szCs w:val="21"/>
        </w:rPr>
        <w:t>7</w:t>
      </w:r>
      <w:r>
        <w:rPr>
          <w:rFonts w:asciiTheme="minorEastAsia" w:hAnsiTheme="minorEastAsia" w:eastAsiaTheme="minorEastAsia"/>
          <w:b w:val="0"/>
          <w:bCs w:val="0"/>
          <w:sz w:val="21"/>
          <w:szCs w:val="21"/>
        </w:rPr>
        <w:fldChar w:fldCharType="end"/>
      </w:r>
      <w:r>
        <w:rPr>
          <w:rFonts w:asciiTheme="minorEastAsia" w:hAnsiTheme="minorEastAsia" w:eastAsiaTheme="minorEastAsia"/>
          <w:b w:val="0"/>
          <w:bCs w:val="0"/>
          <w:sz w:val="21"/>
          <w:szCs w:val="21"/>
        </w:rPr>
        <w:fldChar w:fldCharType="end"/>
      </w:r>
    </w:p>
    <w:p w14:paraId="146E3A6F">
      <w:pPr>
        <w:pStyle w:val="27"/>
        <w:tabs>
          <w:tab w:val="left" w:pos="840"/>
          <w:tab w:val="right" w:leader="dot" w:pos="8296"/>
        </w:tabs>
        <w:ind w:firstLine="402"/>
        <w:rPr>
          <w:rFonts w:asciiTheme="minorEastAsia" w:hAnsiTheme="minorEastAsia" w:eastAsiaTheme="minorEastAsia" w:cstheme="minorBidi"/>
          <w:b w:val="0"/>
          <w:bCs w:val="0"/>
          <w:caps w:val="0"/>
          <w:sz w:val="21"/>
          <w:szCs w:val="21"/>
          <w14:ligatures w14:val="standardContextual"/>
        </w:rPr>
      </w:pPr>
      <w:r>
        <w:fldChar w:fldCharType="begin"/>
      </w:r>
      <w:r>
        <w:instrText xml:space="preserve"> HYPERLINK \l "_Toc198753633" </w:instrText>
      </w:r>
      <w:r>
        <w:fldChar w:fldCharType="separate"/>
      </w:r>
      <w:r>
        <w:rPr>
          <w:rStyle w:val="47"/>
          <w:rFonts w:asciiTheme="minorEastAsia" w:hAnsiTheme="minorEastAsia" w:eastAsiaTheme="minorEastAsia"/>
          <w:b w:val="0"/>
          <w:bCs w:val="0"/>
          <w:sz w:val="21"/>
          <w:szCs w:val="21"/>
        </w:rPr>
        <w:t>5</w:t>
      </w:r>
      <w:r>
        <w:rPr>
          <w:rFonts w:asciiTheme="minorEastAsia" w:hAnsiTheme="minorEastAsia" w:eastAsiaTheme="minorEastAsia" w:cstheme="minorBidi"/>
          <w:b w:val="0"/>
          <w:bCs w:val="0"/>
          <w:caps w:val="0"/>
          <w:sz w:val="21"/>
          <w:szCs w:val="21"/>
          <w14:ligatures w14:val="standardContextual"/>
        </w:rPr>
        <w:tab/>
      </w:r>
      <w:r>
        <w:rPr>
          <w:rStyle w:val="47"/>
          <w:rFonts w:asciiTheme="minorEastAsia" w:hAnsiTheme="minorEastAsia" w:eastAsiaTheme="minorEastAsia"/>
          <w:b w:val="0"/>
          <w:bCs w:val="0"/>
          <w:sz w:val="21"/>
          <w:szCs w:val="21"/>
        </w:rPr>
        <w:t>主要技术内容及说明</w:t>
      </w:r>
      <w:r>
        <w:rPr>
          <w:rFonts w:asciiTheme="minorEastAsia" w:hAnsiTheme="minorEastAsia" w:eastAsiaTheme="minorEastAsia"/>
          <w:b w:val="0"/>
          <w:bCs w:val="0"/>
          <w:sz w:val="21"/>
          <w:szCs w:val="21"/>
        </w:rPr>
        <w:tab/>
      </w:r>
      <w:r>
        <w:rPr>
          <w:rFonts w:asciiTheme="minorEastAsia" w:hAnsiTheme="minorEastAsia" w:eastAsiaTheme="minorEastAsia"/>
          <w:b w:val="0"/>
          <w:bCs w:val="0"/>
          <w:sz w:val="21"/>
          <w:szCs w:val="21"/>
        </w:rPr>
        <w:fldChar w:fldCharType="begin"/>
      </w:r>
      <w:r>
        <w:rPr>
          <w:rFonts w:asciiTheme="minorEastAsia" w:hAnsiTheme="minorEastAsia" w:eastAsiaTheme="minorEastAsia"/>
          <w:b w:val="0"/>
          <w:bCs w:val="0"/>
          <w:sz w:val="21"/>
          <w:szCs w:val="21"/>
        </w:rPr>
        <w:instrText xml:space="preserve"> PAGEREF _Toc198753633 \h </w:instrText>
      </w:r>
      <w:r>
        <w:rPr>
          <w:rFonts w:asciiTheme="minorEastAsia" w:hAnsiTheme="minorEastAsia" w:eastAsiaTheme="minorEastAsia"/>
          <w:b w:val="0"/>
          <w:bCs w:val="0"/>
          <w:sz w:val="21"/>
          <w:szCs w:val="21"/>
        </w:rPr>
        <w:fldChar w:fldCharType="separate"/>
      </w:r>
      <w:r>
        <w:rPr>
          <w:rFonts w:asciiTheme="minorEastAsia" w:hAnsiTheme="minorEastAsia" w:eastAsiaTheme="minorEastAsia"/>
          <w:b w:val="0"/>
          <w:bCs w:val="0"/>
          <w:sz w:val="21"/>
          <w:szCs w:val="21"/>
        </w:rPr>
        <w:t>7</w:t>
      </w:r>
      <w:r>
        <w:rPr>
          <w:rFonts w:asciiTheme="minorEastAsia" w:hAnsiTheme="minorEastAsia" w:eastAsiaTheme="minorEastAsia"/>
          <w:b w:val="0"/>
          <w:bCs w:val="0"/>
          <w:sz w:val="21"/>
          <w:szCs w:val="21"/>
        </w:rPr>
        <w:fldChar w:fldCharType="end"/>
      </w:r>
      <w:r>
        <w:rPr>
          <w:rFonts w:asciiTheme="minorEastAsia" w:hAnsiTheme="minorEastAsia" w:eastAsiaTheme="minorEastAsia"/>
          <w:b w:val="0"/>
          <w:bCs w:val="0"/>
          <w:sz w:val="21"/>
          <w:szCs w:val="21"/>
        </w:rPr>
        <w:fldChar w:fldCharType="end"/>
      </w:r>
    </w:p>
    <w:p w14:paraId="5214759B">
      <w:pPr>
        <w:pStyle w:val="27"/>
        <w:spacing w:before="0" w:after="0"/>
        <w:ind w:left="420" w:hanging="420" w:hangingChars="200"/>
        <w:rPr>
          <w:rFonts w:ascii="宋体" w:hAnsi="宋体" w:cs="宋体"/>
        </w:rPr>
      </w:pPr>
      <w:r>
        <w:rPr>
          <w:rFonts w:hint="eastAsia" w:ascii="宋体" w:hAnsi="宋体" w:cs="宋体"/>
          <w:b w:val="0"/>
          <w:bCs w:val="0"/>
          <w:sz w:val="21"/>
          <w:szCs w:val="21"/>
        </w:rPr>
        <w:fldChar w:fldCharType="end"/>
      </w:r>
    </w:p>
    <w:p w14:paraId="75F0A328">
      <w:pPr>
        <w:autoSpaceDE w:val="0"/>
        <w:autoSpaceDN w:val="0"/>
        <w:ind w:firstLine="0" w:firstLineChars="0"/>
        <w:jc w:val="center"/>
        <w:rPr>
          <w:rFonts w:ascii="仿宋_GB2312" w:hAnsi="黑体" w:eastAsia="仿宋_GB2312"/>
          <w:bCs/>
          <w:sz w:val="32"/>
          <w:lang w:val="zh-CN"/>
        </w:rPr>
      </w:pPr>
      <w:r>
        <w:rPr>
          <w:rFonts w:ascii="仿宋_GB2312" w:hAnsi="黑体" w:eastAsia="仿宋_GB2312"/>
          <w:b/>
          <w:sz w:val="32"/>
          <w:lang w:val="zh-CN"/>
        </w:rPr>
        <w:br w:type="page"/>
      </w:r>
      <w:r>
        <w:rPr>
          <w:rFonts w:hint="eastAsia" w:ascii="黑体" w:hAnsi="黑体" w:eastAsia="黑体" w:cs="黑体"/>
          <w:bCs/>
          <w:sz w:val="32"/>
          <w:lang w:val="zh-CN"/>
        </w:rPr>
        <w:t>《重金属污染土壤异位旋流淋洗技术规范》编制说明</w:t>
      </w:r>
    </w:p>
    <w:p w14:paraId="2BB02C4B">
      <w:pPr>
        <w:autoSpaceDE w:val="0"/>
        <w:autoSpaceDN w:val="0"/>
        <w:ind w:firstLine="0" w:firstLineChars="0"/>
        <w:jc w:val="center"/>
        <w:rPr>
          <w:rFonts w:ascii="仿宋_GB2312" w:hAnsi="黑体" w:eastAsia="仿宋_GB2312"/>
          <w:b/>
          <w:sz w:val="32"/>
          <w:lang w:val="zh-CN"/>
        </w:rPr>
      </w:pPr>
    </w:p>
    <w:p w14:paraId="20A00F57">
      <w:pPr>
        <w:pStyle w:val="2"/>
        <w:rPr>
          <w:b/>
          <w:bCs/>
          <w:lang w:val="zh-CN"/>
        </w:rPr>
      </w:pPr>
      <w:bookmarkStart w:id="0" w:name="_Toc198753629"/>
      <w:r>
        <w:rPr>
          <w:rFonts w:hint="eastAsia"/>
        </w:rPr>
        <w:t>工作简况</w:t>
      </w:r>
      <w:bookmarkEnd w:id="0"/>
    </w:p>
    <w:p w14:paraId="37794B22">
      <w:pPr>
        <w:pStyle w:val="3"/>
        <w:rPr>
          <w:lang w:val="zh-CN"/>
        </w:rPr>
      </w:pPr>
      <w:r>
        <w:rPr>
          <w:rFonts w:hint="eastAsia"/>
        </w:rPr>
        <w:t>任务来源</w:t>
      </w:r>
    </w:p>
    <w:p w14:paraId="4344189D">
      <w:pPr>
        <w:ind w:firstLine="420"/>
        <w:rPr>
          <w:lang w:val="zh-CN"/>
        </w:rPr>
      </w:pPr>
      <w:r>
        <w:rPr>
          <w:rFonts w:hint="eastAsia"/>
          <w:lang w:val="zh-CN"/>
        </w:rPr>
        <w:t>根据全国土壤污染状况调查公报，全国土壤总的超标率为16.1%，污染类型主要包括无机污染（以重金属污染为主）、有机污染。近年来，土壤淋洗修复技术得到广泛发展和应用，上海市于2023年10月1日首次发布《上海市重金属污染土壤异位淋洗修复技术指南（试行）》，更多具体的技术规范和指南有待补充。</w:t>
      </w:r>
    </w:p>
    <w:p w14:paraId="267120E5">
      <w:pPr>
        <w:ind w:firstLine="420"/>
        <w:rPr>
          <w:lang w:val="zh-CN"/>
        </w:rPr>
      </w:pPr>
      <w:r>
        <w:rPr>
          <w:rFonts w:hint="eastAsia"/>
          <w:lang w:val="zh-CN"/>
        </w:rPr>
        <w:t>当前淋洗技术的修复效果受粒径分级及淋洗强度制约，为提高淋洗效率，将旋流分级、旋流洗脱与淋洗修复技术相融合，突破现有的分级极限和搅拌强度极限，促进土壤颗粒与淋洗液的混合反应，实现污染物的高效去除。</w:t>
      </w:r>
    </w:p>
    <w:p w14:paraId="5D07AD35">
      <w:pPr>
        <w:ind w:firstLine="420"/>
        <w:rPr>
          <w:lang w:val="zh-CN"/>
        </w:rPr>
      </w:pPr>
      <w:r>
        <w:rPr>
          <w:rFonts w:hint="eastAsia"/>
          <w:lang w:val="zh-CN"/>
        </w:rPr>
        <w:t>当前</w:t>
      </w:r>
      <w:bookmarkStart w:id="1" w:name="_Hlk163375142"/>
      <w:r>
        <w:rPr>
          <w:rFonts w:hint="eastAsia"/>
          <w:lang w:val="zh-CN"/>
        </w:rPr>
        <w:t>基于旋流增效洗脱的淋洗修复技术</w:t>
      </w:r>
      <w:bookmarkEnd w:id="1"/>
      <w:r>
        <w:rPr>
          <w:rFonts w:hint="eastAsia"/>
          <w:lang w:val="zh-CN"/>
        </w:rPr>
        <w:t>在应用中仍存在一些问题，主要为缺乏技术规范，在工艺设计、设备选型、施工组织等方面存在困难，难以满足相关从业企业对该项技术的应用和管理要求，也限制了该技术的推广应用。为此，上海城投上境生态修复科技有限公司、上海大学等单位起草编制了《基于旋流增效洗脱的土壤淋洗修复技术规范》并申请立项。</w:t>
      </w:r>
    </w:p>
    <w:p w14:paraId="0A8CB70E">
      <w:pPr>
        <w:pStyle w:val="3"/>
        <w:rPr>
          <w:lang w:val="zh-CN"/>
        </w:rPr>
      </w:pPr>
      <w:r>
        <w:rPr>
          <w:rFonts w:hint="eastAsia"/>
        </w:rPr>
        <w:t>协作单位</w:t>
      </w:r>
    </w:p>
    <w:p w14:paraId="53573DAC">
      <w:pPr>
        <w:ind w:firstLine="420"/>
        <w:rPr>
          <w:lang w:val="zh-CN"/>
        </w:rPr>
      </w:pPr>
      <w:r>
        <w:rPr>
          <w:rFonts w:hint="eastAsia"/>
          <w:lang w:val="zh-CN"/>
        </w:rPr>
        <w:t>本标准编写主要由本文件起草单位：上海大学、上海城投上境生态修复科技有限公司。</w:t>
      </w:r>
    </w:p>
    <w:p w14:paraId="54E5C20E">
      <w:pPr>
        <w:pStyle w:val="3"/>
        <w:rPr>
          <w:lang w:val="zh-CN"/>
        </w:rPr>
      </w:pPr>
      <w:r>
        <w:rPr>
          <w:rFonts w:hint="eastAsia"/>
        </w:rPr>
        <w:t>主要工作过程</w:t>
      </w:r>
    </w:p>
    <w:p w14:paraId="0D52735F">
      <w:pPr>
        <w:pStyle w:val="4"/>
        <w:rPr>
          <w:lang w:val="zh-CN"/>
        </w:rPr>
      </w:pPr>
      <w:r>
        <w:rPr>
          <w:rFonts w:hint="eastAsia"/>
          <w:lang w:val="zh-CN"/>
        </w:rPr>
        <w:t>成立标准制订编制组</w:t>
      </w:r>
    </w:p>
    <w:p w14:paraId="2F20C6A6">
      <w:pPr>
        <w:ind w:firstLine="420"/>
        <w:rPr>
          <w:szCs w:val="21"/>
        </w:rPr>
      </w:pPr>
      <w:r>
        <w:rPr>
          <w:szCs w:val="21"/>
        </w:rPr>
        <w:t>2023年</w:t>
      </w:r>
      <w:r>
        <w:rPr>
          <w:rFonts w:hint="eastAsia"/>
          <w:szCs w:val="21"/>
        </w:rPr>
        <w:t>9</w:t>
      </w:r>
      <w:r>
        <w:rPr>
          <w:szCs w:val="21"/>
        </w:rPr>
        <w:t>月任务下达后，项目承担单位</w:t>
      </w:r>
      <w:r>
        <w:rPr>
          <w:rFonts w:hint="eastAsia" w:ascii="宋体" w:hAnsi="宋体" w:cs="宋体"/>
          <w:szCs w:val="21"/>
        </w:rPr>
        <w:t>上海城投上境生态修复科技有限公司</w:t>
      </w:r>
      <w:r>
        <w:rPr>
          <w:szCs w:val="21"/>
        </w:rPr>
        <w:t>即成立标准制订编制组(以下简称编制组)。编制组初步拟定了标准制订的原则、工作目标、工作内容和技术路线，讨论了在标准过程中可能遇到的问题、标准定位及侧重点，并根据标准编制任务，制定了详细的标准编制计划与任务分工。</w:t>
      </w:r>
    </w:p>
    <w:p w14:paraId="17719E8E">
      <w:pPr>
        <w:pStyle w:val="4"/>
      </w:pPr>
      <w:r>
        <w:t>查询国内外相关标准和文献资料、编制大纲及草案</w:t>
      </w:r>
    </w:p>
    <w:p w14:paraId="7CDC75AA">
      <w:pPr>
        <w:ind w:firstLine="420"/>
        <w:rPr>
          <w:szCs w:val="21"/>
        </w:rPr>
      </w:pPr>
      <w:r>
        <w:rPr>
          <w:rFonts w:hint="eastAsia"/>
          <w:szCs w:val="21"/>
        </w:rPr>
        <w:t>2023</w:t>
      </w:r>
      <w:r>
        <w:rPr>
          <w:szCs w:val="21"/>
        </w:rPr>
        <w:t>年</w:t>
      </w:r>
      <w:r>
        <w:rPr>
          <w:rFonts w:hint="eastAsia"/>
          <w:szCs w:val="21"/>
        </w:rPr>
        <w:t>6</w:t>
      </w:r>
      <w:r>
        <w:rPr>
          <w:szCs w:val="21"/>
        </w:rPr>
        <w:t>月</w:t>
      </w:r>
      <w:r>
        <w:rPr>
          <w:rFonts w:hint="eastAsia"/>
          <w:szCs w:val="21"/>
        </w:rPr>
        <w:t>~12</w:t>
      </w:r>
      <w:r>
        <w:rPr>
          <w:szCs w:val="21"/>
        </w:rPr>
        <w:t>月，编制组根据《国家环境保护标准制修订工作管理办法》(国环规科技〔2017〕1号)、《</w:t>
      </w:r>
      <w:r>
        <w:rPr>
          <w:rFonts w:hint="eastAsia"/>
          <w:szCs w:val="21"/>
        </w:rPr>
        <w:t>污染场地修复技术目录（第一批）</w:t>
      </w:r>
      <w:r>
        <w:rPr>
          <w:szCs w:val="21"/>
        </w:rPr>
        <w:t>》等相关规定，检索、查询和收集国内外相关标准和文献资料，对现有关于</w:t>
      </w:r>
      <w:r>
        <w:rPr>
          <w:rFonts w:hint="eastAsia"/>
          <w:szCs w:val="21"/>
        </w:rPr>
        <w:t>污染土壤淋洗修复</w:t>
      </w:r>
      <w:r>
        <w:rPr>
          <w:szCs w:val="21"/>
        </w:rPr>
        <w:t>的方法、研究进展以及存在的问题进行了调研，在整理借鉴的基础上进行归纳和总结，</w:t>
      </w:r>
      <w:r>
        <w:rPr>
          <w:rFonts w:hint="eastAsia"/>
          <w:szCs w:val="21"/>
        </w:rPr>
        <w:t>对方法中涉及的工艺设计、设备选型、施工组织等主要内容进行了初步的探讨和总结</w:t>
      </w:r>
      <w:r>
        <w:rPr>
          <w:szCs w:val="21"/>
        </w:rPr>
        <w:t>，确定了</w:t>
      </w:r>
      <w:r>
        <w:rPr>
          <w:rFonts w:hint="eastAsia"/>
          <w:szCs w:val="21"/>
        </w:rPr>
        <w:t>淋洗修复</w:t>
      </w:r>
      <w:r>
        <w:rPr>
          <w:szCs w:val="21"/>
        </w:rPr>
        <w:t>技术规程的技术路线和主要研究内容。</w:t>
      </w:r>
    </w:p>
    <w:p w14:paraId="309AF0EC">
      <w:pPr>
        <w:pStyle w:val="4"/>
      </w:pPr>
      <w:r>
        <w:t>编制开题论证报告及标准草案</w:t>
      </w:r>
    </w:p>
    <w:p w14:paraId="43195272">
      <w:pPr>
        <w:ind w:firstLine="420"/>
        <w:rPr>
          <w:szCs w:val="21"/>
        </w:rPr>
      </w:pPr>
      <w:r>
        <w:rPr>
          <w:rFonts w:hint="eastAsia"/>
          <w:szCs w:val="21"/>
        </w:rPr>
        <w:t>2023</w:t>
      </w:r>
      <w:r>
        <w:rPr>
          <w:szCs w:val="21"/>
        </w:rPr>
        <w:t>年</w:t>
      </w:r>
      <w:r>
        <w:rPr>
          <w:rFonts w:hint="eastAsia"/>
          <w:szCs w:val="21"/>
        </w:rPr>
        <w:t>6</w:t>
      </w:r>
      <w:r>
        <w:rPr>
          <w:szCs w:val="21"/>
        </w:rPr>
        <w:t>月</w:t>
      </w:r>
      <w:r>
        <w:rPr>
          <w:rFonts w:hint="eastAsia"/>
          <w:szCs w:val="21"/>
        </w:rPr>
        <w:t>~12</w:t>
      </w:r>
      <w:r>
        <w:rPr>
          <w:szCs w:val="21"/>
        </w:rPr>
        <w:t>月，编制组根据拟定的技术路线，开展了</w:t>
      </w:r>
      <w:r>
        <w:rPr>
          <w:rFonts w:hint="eastAsia"/>
          <w:szCs w:val="21"/>
        </w:rPr>
        <w:t>污染土壤淋洗修复</w:t>
      </w:r>
      <w:r>
        <w:rPr>
          <w:szCs w:val="21"/>
        </w:rPr>
        <w:t>等相关</w:t>
      </w:r>
      <w:r>
        <w:rPr>
          <w:rFonts w:hint="eastAsia"/>
          <w:szCs w:val="21"/>
        </w:rPr>
        <w:t>实验</w:t>
      </w:r>
      <w:r>
        <w:rPr>
          <w:szCs w:val="21"/>
        </w:rPr>
        <w:t>研究，并在此基础上编写了开题论证报告及标准草案。</w:t>
      </w:r>
    </w:p>
    <w:p w14:paraId="3D7CA88B">
      <w:pPr>
        <w:pStyle w:val="4"/>
      </w:pPr>
      <w:r>
        <w:t>召开专家指导审查会</w:t>
      </w:r>
    </w:p>
    <w:p w14:paraId="725AC11F">
      <w:pPr>
        <w:ind w:firstLine="420"/>
        <w:rPr>
          <w:szCs w:val="21"/>
        </w:rPr>
      </w:pPr>
      <w:r>
        <w:rPr>
          <w:szCs w:val="21"/>
        </w:rPr>
        <w:t>年 月 日，邀请行业内相关院士、专家进行了标准方向、内容和规划等方面的审查，并提出了标准草案相关修改意见。年 月 日，邀请专家对团体标准制定流程及相关要求进行深度解析，标准主编人员汇报标准编制进度、修改情况及待解决的问题，专家对存在的问题提出可行性建议。</w:t>
      </w:r>
    </w:p>
    <w:p w14:paraId="1EAFC04B">
      <w:pPr>
        <w:pStyle w:val="4"/>
      </w:pPr>
      <w:r>
        <w:t>召开立项评审会</w:t>
      </w:r>
    </w:p>
    <w:p w14:paraId="5770C4CD">
      <w:pPr>
        <w:ind w:firstLine="420"/>
        <w:rPr>
          <w:szCs w:val="21"/>
        </w:rPr>
      </w:pPr>
      <w:r>
        <w:rPr>
          <w:szCs w:val="21"/>
        </w:rPr>
        <w:t>年 月 日，中华环保联合会组织召开了本项目立项评审会。专家委员会听取了编制汇报，经质询和讨论，通过了本项目的立项审查，并提出以下主要修改意见：</w:t>
      </w:r>
    </w:p>
    <w:p w14:paraId="1C3AD839">
      <w:pPr>
        <w:pStyle w:val="4"/>
      </w:pPr>
      <w:r>
        <w:rPr>
          <w:rFonts w:hint="eastAsia"/>
        </w:rPr>
        <w:t>召开专家组讨论会</w:t>
      </w:r>
    </w:p>
    <w:p w14:paraId="1885BDD4">
      <w:pPr>
        <w:ind w:firstLine="420"/>
        <w:rPr>
          <w:szCs w:val="21"/>
        </w:rPr>
      </w:pPr>
      <w:r>
        <w:rPr>
          <w:szCs w:val="21"/>
        </w:rPr>
        <w:t>年 月 日，中华环保联合会组织召开了</w:t>
      </w:r>
      <w:r>
        <w:rPr>
          <w:rFonts w:hint="eastAsia"/>
          <w:szCs w:val="21"/>
        </w:rPr>
        <w:t>专家组讨论会</w:t>
      </w:r>
      <w:r>
        <w:rPr>
          <w:szCs w:val="21"/>
        </w:rPr>
        <w:t>。专家委员会听取了</w:t>
      </w:r>
      <w:r>
        <w:rPr>
          <w:rFonts w:hint="eastAsia"/>
          <w:szCs w:val="21"/>
        </w:rPr>
        <w:t>标准</w:t>
      </w:r>
      <w:r>
        <w:rPr>
          <w:szCs w:val="21"/>
        </w:rPr>
        <w:t>编制汇报，经讨论，</w:t>
      </w:r>
      <w:r>
        <w:rPr>
          <w:rFonts w:hint="eastAsia"/>
          <w:szCs w:val="21"/>
        </w:rPr>
        <w:t>提出了</w:t>
      </w:r>
      <w:r>
        <w:rPr>
          <w:szCs w:val="21"/>
        </w:rPr>
        <w:t>以下主要修改意见：</w:t>
      </w:r>
    </w:p>
    <w:p w14:paraId="5DD02D8E">
      <w:pPr>
        <w:ind w:firstLine="420"/>
        <w:rPr>
          <w:szCs w:val="21"/>
        </w:rPr>
      </w:pPr>
    </w:p>
    <w:p w14:paraId="16707BA0">
      <w:pPr>
        <w:ind w:firstLine="420"/>
        <w:rPr>
          <w:szCs w:val="21"/>
        </w:rPr>
      </w:pPr>
      <w:r>
        <w:rPr>
          <w:szCs w:val="21"/>
        </w:rPr>
        <w:t>会后，编制组根据</w:t>
      </w:r>
      <w:r>
        <w:rPr>
          <w:rFonts w:hint="eastAsia"/>
          <w:szCs w:val="21"/>
        </w:rPr>
        <w:t>专家修改</w:t>
      </w:r>
      <w:r>
        <w:rPr>
          <w:szCs w:val="21"/>
        </w:rPr>
        <w:t>意见对标准草案进行了</w:t>
      </w:r>
      <w:r>
        <w:rPr>
          <w:rFonts w:hint="eastAsia"/>
          <w:szCs w:val="21"/>
        </w:rPr>
        <w:t>进一步</w:t>
      </w:r>
      <w:r>
        <w:rPr>
          <w:szCs w:val="21"/>
        </w:rPr>
        <w:t>修改</w:t>
      </w:r>
      <w:r>
        <w:rPr>
          <w:rFonts w:hint="eastAsia"/>
          <w:szCs w:val="21"/>
        </w:rPr>
        <w:t>和完善，并对格式进行了修改</w:t>
      </w:r>
      <w:r>
        <w:rPr>
          <w:szCs w:val="21"/>
        </w:rPr>
        <w:t>。</w:t>
      </w:r>
    </w:p>
    <w:p w14:paraId="74437733">
      <w:pPr>
        <w:pStyle w:val="4"/>
      </w:pPr>
      <w:r>
        <w:t>召开征求意见稿技术审查会</w:t>
      </w:r>
    </w:p>
    <w:p w14:paraId="5B40C3B5">
      <w:pPr>
        <w:ind w:firstLine="420"/>
        <w:rPr>
          <w:szCs w:val="21"/>
        </w:rPr>
      </w:pPr>
      <w:r>
        <w:rPr>
          <w:szCs w:val="21"/>
        </w:rPr>
        <w:t>年 月 日，中华环保联合会组织召开了本项目的征求意见稿技术审查会。专家组听取了标准编制组的汇报，经过质询、讨论，专家组通过了该标准征求意见稿的技术审查，并提出以下修改意见和建议：</w:t>
      </w:r>
    </w:p>
    <w:p w14:paraId="599A7276">
      <w:pPr>
        <w:ind w:firstLine="420"/>
        <w:rPr>
          <w:szCs w:val="21"/>
        </w:rPr>
      </w:pPr>
      <w:r>
        <w:rPr>
          <w:szCs w:val="21"/>
        </w:rPr>
        <w:t>会后，编制组按照专家意见对标准文本征求意见稿和编制说明进行了修改，编制说明中</w:t>
      </w:r>
      <w:r>
        <w:rPr>
          <w:rFonts w:hint="eastAsia"/>
          <w:szCs w:val="21"/>
        </w:rPr>
        <w:t>完善了   适用方法</w:t>
      </w:r>
      <w:r>
        <w:rPr>
          <w:szCs w:val="21"/>
        </w:rPr>
        <w:t>，增加了</w:t>
      </w:r>
      <w:r>
        <w:rPr>
          <w:rFonts w:hint="eastAsia"/>
          <w:szCs w:val="21"/>
        </w:rPr>
        <w:t>最新的国内相关标准</w:t>
      </w:r>
      <w:r>
        <w:rPr>
          <w:szCs w:val="21"/>
        </w:rPr>
        <w:t>，标准文本中修改了</w:t>
      </w:r>
      <w:r>
        <w:rPr>
          <w:rFonts w:hint="eastAsia"/>
          <w:szCs w:val="21"/>
        </w:rPr>
        <w:t xml:space="preserve">   </w:t>
      </w:r>
      <w:r>
        <w:rPr>
          <w:szCs w:val="21"/>
        </w:rPr>
        <w:t>，简化了</w:t>
      </w:r>
      <w:r>
        <w:rPr>
          <w:rFonts w:hint="eastAsia"/>
          <w:szCs w:val="21"/>
        </w:rPr>
        <w:t>采样装置说明</w:t>
      </w:r>
      <w:r>
        <w:rPr>
          <w:szCs w:val="21"/>
        </w:rPr>
        <w:t>，增加了</w:t>
      </w:r>
      <w:r>
        <w:rPr>
          <w:rFonts w:hint="eastAsia"/>
          <w:szCs w:val="21"/>
        </w:rPr>
        <w:t xml:space="preserve">   相关内容</w:t>
      </w:r>
      <w:r>
        <w:rPr>
          <w:szCs w:val="21"/>
        </w:rPr>
        <w:t>。</w:t>
      </w:r>
    </w:p>
    <w:p w14:paraId="1525F050">
      <w:pPr>
        <w:pStyle w:val="2"/>
        <w:rPr>
          <w:b/>
          <w:bCs/>
        </w:rPr>
      </w:pPr>
      <w:bookmarkStart w:id="2" w:name="_Toc198753630"/>
      <w:r>
        <w:rPr>
          <w:rFonts w:hint="eastAsia"/>
        </w:rPr>
        <w:t>标准制定必要性、编制依据、编制原则</w:t>
      </w:r>
      <w:bookmarkEnd w:id="2"/>
    </w:p>
    <w:p w14:paraId="6B80DF90">
      <w:pPr>
        <w:pStyle w:val="3"/>
      </w:pPr>
      <w:r>
        <w:rPr>
          <w:rFonts w:hint="eastAsia"/>
        </w:rPr>
        <w:t>制定必要性和重要意义</w:t>
      </w:r>
    </w:p>
    <w:p w14:paraId="4A0D817C">
      <w:pPr>
        <w:ind w:firstLine="420"/>
      </w:pPr>
      <w:r>
        <w:rPr>
          <w:rFonts w:hint="eastAsia"/>
        </w:rPr>
        <w:t>土壤污染是一个全球性的环境问题，其严重性和广泛性不容忽视。在我国，土壤污染问题近年来尤为突出。我国土壤污染的主要来源包括工业排放、农药使用、垃圾弃置等，这些污染源导致土壤中含有大量的重金属、有机污染物或其他有害物质。这些污染物可能通过食物链进入人体，对人类健康造成潜在威胁。《建设用地土壤修复技术导则》明确了污染土壤修复应遵循的一般性原则、步骤和技术标准，主要适用于污染土壤修复可行性研究中对修复技术的筛选和修复方案的制定。然而，该导则并未详细规定土壤修复各专项技术的具体要求和细节。</w:t>
      </w:r>
    </w:p>
    <w:p w14:paraId="032D5ABA">
      <w:pPr>
        <w:ind w:firstLine="420"/>
      </w:pPr>
      <w:r>
        <w:rPr>
          <w:rFonts w:hint="eastAsia"/>
        </w:rPr>
        <w:t>制定该技术标准具有良好的环境效益、经济效益以及社会效益。环境效益体现在：基于旋流增效洗脱的土壤淋洗修复技术可以有效去除土壤中的污染物，降低对土壤、地下水等环境资源的污染威胁；通过制定和实施相关技术规范，推动污染土壤修复工作的规范化、标准化发展，为我国的可持续发展提供有力的环境支撑。经济效益体现在：通过基于旋流增效洗脱的土壤淋洗修复技术，可以有效去除或降低土壤中的污染物，使污染土地得以恢复并重新利用，从而提高了土地的利用率，为经济发展释放更多土地资源；相比其他土壤修复技术，基于旋流增效洗脱的土壤淋洗修复技术具有更高的修复效率和更低的成本；制定相关技术规范，有助于该技术的广泛应用，从而提高修复方法的选择多样性，提高污染物的去除效率，降低环境修复的总体成本；该技术规范的制定和实施将推动基于旋流增效洗脱的土壤淋洗修复技术的产业化发展，为环保产业注入新的动力，促进经济增长。社会效益体现在：减少有害物质进入食物链，从而降低对人类健康的潜在威胁，保障公众的健康权益；修复后的土壤可以作为文化用地、景观用地、居住用地、公共管理与公共服务用地等等，为居民提供更高的生活质量，促进社会和谐稳定。</w:t>
      </w:r>
    </w:p>
    <w:p w14:paraId="7DFE3B87">
      <w:pPr>
        <w:ind w:firstLine="420"/>
      </w:pPr>
      <w:r>
        <w:rPr>
          <w:rFonts w:hint="eastAsia"/>
        </w:rPr>
        <w:t>制定基于旋流增效洗脱的土壤淋洗修复技术规范是完善标准体系的具体体现，是弥补我国现阶段土壤污染修复领域技术空白的迫切需求。该技术标准的制定对保护生态环境、减少环境污染、促进可持续发展具有良好作用，还可以进一步提高建设用地修复工作的规范性，节省工程投资，方便工程的监督、管理和验收工作，提升修复工作的质量和效率，对土壤污染修复具有重要的作用。</w:t>
      </w:r>
    </w:p>
    <w:p w14:paraId="1D3E9F76">
      <w:pPr>
        <w:pStyle w:val="3"/>
      </w:pPr>
      <w:r>
        <w:rPr>
          <w:rFonts w:hint="eastAsia"/>
        </w:rPr>
        <w:t>编制依据</w:t>
      </w:r>
    </w:p>
    <w:p w14:paraId="06782E30">
      <w:pPr>
        <w:pStyle w:val="4"/>
      </w:pPr>
      <w:r>
        <w:rPr>
          <w:rFonts w:hint="eastAsia"/>
        </w:rPr>
        <w:t>政策法律依据</w:t>
      </w:r>
    </w:p>
    <w:p w14:paraId="4B90A361">
      <w:pPr>
        <w:ind w:firstLine="420"/>
      </w:pPr>
      <w:r>
        <w:t>《中华人民共和国环境保护法》</w:t>
      </w:r>
    </w:p>
    <w:p w14:paraId="06D8A612">
      <w:pPr>
        <w:ind w:firstLine="420"/>
      </w:pPr>
      <w:r>
        <w:t>《</w:t>
      </w:r>
      <w:r>
        <w:rPr>
          <w:rFonts w:hint="eastAsia"/>
        </w:rPr>
        <w:t>中华人民共和国土壤污染防治法</w:t>
      </w:r>
      <w:r>
        <w:t>》</w:t>
      </w:r>
    </w:p>
    <w:p w14:paraId="4067AE3F">
      <w:pPr>
        <w:ind w:firstLine="420"/>
      </w:pPr>
      <w:r>
        <w:rPr>
          <w:rFonts w:hint="eastAsia"/>
        </w:rPr>
        <w:t>《中华人民共和国水污染防治法》</w:t>
      </w:r>
    </w:p>
    <w:p w14:paraId="64947915">
      <w:pPr>
        <w:ind w:firstLine="420"/>
      </w:pPr>
      <w:r>
        <w:rPr>
          <w:rFonts w:hint="eastAsia"/>
        </w:rPr>
        <w:t>《中华人民共和国环境噪声污染防治法》</w:t>
      </w:r>
    </w:p>
    <w:p w14:paraId="2EF5FE6F">
      <w:pPr>
        <w:pStyle w:val="4"/>
      </w:pPr>
      <w:r>
        <w:t>技术依据</w:t>
      </w:r>
    </w:p>
    <w:p w14:paraId="2463260E">
      <w:pPr>
        <w:widowControl/>
        <w:adjustRightInd w:val="0"/>
        <w:snapToGrid w:val="0"/>
        <w:ind w:firstLine="420"/>
        <w:contextualSpacing/>
        <w:rPr>
          <w:rFonts w:hint="eastAsia" w:cs="宋体"/>
          <w:szCs w:val="21"/>
        </w:rPr>
      </w:pPr>
      <w:r>
        <w:rPr>
          <w:rFonts w:hint="eastAsia" w:cs="宋体"/>
          <w:szCs w:val="21"/>
        </w:rPr>
        <w:t>GB 12348       工业企业厂界环境噪声排放标准</w:t>
      </w:r>
    </w:p>
    <w:p w14:paraId="0AB7BA8F">
      <w:pPr>
        <w:widowControl/>
        <w:adjustRightInd w:val="0"/>
        <w:snapToGrid w:val="0"/>
        <w:ind w:firstLine="420"/>
        <w:contextualSpacing/>
        <w:rPr>
          <w:rFonts w:hint="eastAsia" w:cs="宋体"/>
          <w:szCs w:val="21"/>
        </w:rPr>
      </w:pPr>
      <w:r>
        <w:rPr>
          <w:rFonts w:hint="eastAsia" w:cs="宋体"/>
          <w:szCs w:val="21"/>
        </w:rPr>
        <w:t>GB 15618       土壤环境质量 农用地土壤污染风险管控标准（试行）</w:t>
      </w:r>
    </w:p>
    <w:p w14:paraId="457CC0C3">
      <w:pPr>
        <w:widowControl/>
        <w:adjustRightInd w:val="0"/>
        <w:snapToGrid w:val="0"/>
        <w:ind w:firstLine="420"/>
        <w:contextualSpacing/>
        <w:rPr>
          <w:rFonts w:hint="eastAsia" w:cs="宋体"/>
          <w:szCs w:val="21"/>
        </w:rPr>
      </w:pPr>
      <w:r>
        <w:rPr>
          <w:rFonts w:hint="eastAsia" w:cs="宋体"/>
          <w:szCs w:val="21"/>
        </w:rPr>
        <w:t>GB 18597       危险废物贮存污染控制标准</w:t>
      </w:r>
    </w:p>
    <w:p w14:paraId="5DFBD73F">
      <w:pPr>
        <w:widowControl/>
        <w:adjustRightInd w:val="0"/>
        <w:snapToGrid w:val="0"/>
        <w:ind w:firstLine="420"/>
        <w:contextualSpacing/>
        <w:rPr>
          <w:rFonts w:hint="eastAsia" w:cs="宋体"/>
          <w:szCs w:val="21"/>
        </w:rPr>
      </w:pPr>
      <w:r>
        <w:rPr>
          <w:rFonts w:hint="eastAsia" w:cs="宋体"/>
          <w:szCs w:val="21"/>
        </w:rPr>
        <w:t>GB 16297       大气污染物综合排放标准</w:t>
      </w:r>
    </w:p>
    <w:p w14:paraId="217D86FF">
      <w:pPr>
        <w:widowControl/>
        <w:adjustRightInd w:val="0"/>
        <w:snapToGrid w:val="0"/>
        <w:ind w:firstLine="420"/>
        <w:contextualSpacing/>
        <w:rPr>
          <w:rFonts w:hint="eastAsia" w:cs="宋体"/>
          <w:szCs w:val="21"/>
        </w:rPr>
      </w:pPr>
      <w:r>
        <w:rPr>
          <w:rFonts w:hint="eastAsia" w:cs="宋体"/>
          <w:szCs w:val="21"/>
        </w:rPr>
        <w:t>GB/T 20801.4 压力管道规范 工业管道 第4部分:制作与安装</w:t>
      </w:r>
    </w:p>
    <w:p w14:paraId="67B0A8D2">
      <w:pPr>
        <w:widowControl/>
        <w:adjustRightInd w:val="0"/>
        <w:snapToGrid w:val="0"/>
        <w:ind w:firstLine="420"/>
        <w:contextualSpacing/>
        <w:rPr>
          <w:rFonts w:hint="eastAsia" w:cs="宋体"/>
          <w:szCs w:val="21"/>
        </w:rPr>
      </w:pPr>
      <w:r>
        <w:rPr>
          <w:rFonts w:hint="eastAsia" w:cs="宋体"/>
          <w:szCs w:val="21"/>
        </w:rPr>
        <w:t>GB 36600       土壤环境质量 建设用地土壤污染风险管控标准（试行）</w:t>
      </w:r>
    </w:p>
    <w:p w14:paraId="7F49655D">
      <w:pPr>
        <w:widowControl/>
        <w:adjustRightInd w:val="0"/>
        <w:snapToGrid w:val="0"/>
        <w:ind w:firstLine="420"/>
        <w:contextualSpacing/>
        <w:rPr>
          <w:rFonts w:hint="eastAsia" w:cs="宋体"/>
          <w:szCs w:val="21"/>
        </w:rPr>
      </w:pPr>
      <w:r>
        <w:rPr>
          <w:rFonts w:hint="eastAsia" w:cs="宋体"/>
          <w:szCs w:val="21"/>
        </w:rPr>
        <w:t>GB 50202       建筑地基基础工程施工质量验收标准</w:t>
      </w:r>
    </w:p>
    <w:p w14:paraId="3DC2A243">
      <w:pPr>
        <w:widowControl/>
        <w:adjustRightInd w:val="0"/>
        <w:snapToGrid w:val="0"/>
        <w:ind w:firstLine="420"/>
        <w:contextualSpacing/>
        <w:rPr>
          <w:rFonts w:hint="eastAsia" w:cs="宋体"/>
          <w:szCs w:val="21"/>
        </w:rPr>
      </w:pPr>
      <w:r>
        <w:rPr>
          <w:rFonts w:hint="eastAsia" w:cs="宋体"/>
          <w:szCs w:val="21"/>
        </w:rPr>
        <w:t>GB 50275       风机、压缩机、泵安装工程施工及验收规范</w:t>
      </w:r>
    </w:p>
    <w:p w14:paraId="6ED7B962">
      <w:pPr>
        <w:widowControl/>
        <w:adjustRightInd w:val="0"/>
        <w:snapToGrid w:val="0"/>
        <w:ind w:firstLine="420"/>
        <w:contextualSpacing/>
        <w:rPr>
          <w:rFonts w:hint="eastAsia" w:cs="宋体"/>
          <w:szCs w:val="21"/>
        </w:rPr>
      </w:pPr>
      <w:r>
        <w:rPr>
          <w:rFonts w:hint="eastAsia" w:cs="宋体"/>
          <w:szCs w:val="21"/>
        </w:rPr>
        <w:t>GB 50727       工业设备及管道防腐蚀工程施工质量验收规范</w:t>
      </w:r>
    </w:p>
    <w:p w14:paraId="64EFC4A8">
      <w:pPr>
        <w:widowControl/>
        <w:adjustRightInd w:val="0"/>
        <w:snapToGrid w:val="0"/>
        <w:ind w:firstLine="420"/>
        <w:contextualSpacing/>
        <w:rPr>
          <w:rFonts w:hint="eastAsia" w:cs="宋体"/>
          <w:szCs w:val="21"/>
        </w:rPr>
      </w:pPr>
      <w:r>
        <w:rPr>
          <w:rFonts w:hint="eastAsia" w:cs="宋体"/>
          <w:szCs w:val="21"/>
        </w:rPr>
        <w:t>HJ 25.2        建设用地土壤污染风险管控和修复监测技术导则</w:t>
      </w:r>
    </w:p>
    <w:p w14:paraId="5D585C23">
      <w:pPr>
        <w:widowControl/>
        <w:adjustRightInd w:val="0"/>
        <w:snapToGrid w:val="0"/>
        <w:ind w:firstLine="420"/>
        <w:contextualSpacing/>
        <w:rPr>
          <w:rFonts w:hint="eastAsia" w:cs="宋体"/>
          <w:szCs w:val="21"/>
        </w:rPr>
      </w:pPr>
      <w:r>
        <w:rPr>
          <w:rFonts w:hint="eastAsia" w:cs="宋体"/>
          <w:szCs w:val="21"/>
        </w:rPr>
        <w:t>HJ 25.4        建设用地土壤修复技术导则</w:t>
      </w:r>
    </w:p>
    <w:p w14:paraId="21D39544">
      <w:pPr>
        <w:widowControl/>
        <w:adjustRightInd w:val="0"/>
        <w:snapToGrid w:val="0"/>
        <w:ind w:firstLine="420"/>
        <w:contextualSpacing/>
        <w:rPr>
          <w:rFonts w:hint="eastAsia" w:cs="宋体"/>
          <w:szCs w:val="21"/>
        </w:rPr>
      </w:pPr>
      <w:r>
        <w:rPr>
          <w:rFonts w:hint="eastAsia" w:cs="宋体"/>
          <w:szCs w:val="21"/>
        </w:rPr>
        <w:t>HJ 25.5        污染地块风险管控与土壤修复效果评估技术导则</w:t>
      </w:r>
    </w:p>
    <w:p w14:paraId="4D12106B">
      <w:pPr>
        <w:widowControl/>
        <w:adjustRightInd w:val="0"/>
        <w:snapToGrid w:val="0"/>
        <w:ind w:firstLine="420"/>
        <w:contextualSpacing/>
        <w:rPr>
          <w:rFonts w:hint="eastAsia" w:cs="宋体"/>
          <w:szCs w:val="21"/>
        </w:rPr>
      </w:pPr>
      <w:r>
        <w:rPr>
          <w:rFonts w:hint="eastAsia" w:cs="宋体"/>
          <w:szCs w:val="21"/>
        </w:rPr>
        <w:t>HJ 682         建设用地土壤污染风险管控和修复术语</w:t>
      </w:r>
    </w:p>
    <w:p w14:paraId="490CB3FC">
      <w:pPr>
        <w:widowControl/>
        <w:adjustRightInd w:val="0"/>
        <w:snapToGrid w:val="0"/>
        <w:ind w:firstLine="420"/>
        <w:contextualSpacing/>
        <w:rPr>
          <w:rFonts w:hint="eastAsia" w:cs="宋体"/>
          <w:szCs w:val="21"/>
        </w:rPr>
      </w:pPr>
      <w:r>
        <w:rPr>
          <w:rFonts w:hint="eastAsia" w:cs="宋体"/>
          <w:szCs w:val="21"/>
        </w:rPr>
        <w:t>HG/T 4380     液－固微旋流分离器技术条件</w:t>
      </w:r>
    </w:p>
    <w:p w14:paraId="42CFB825">
      <w:pPr>
        <w:widowControl/>
        <w:adjustRightInd w:val="0"/>
        <w:snapToGrid w:val="0"/>
        <w:ind w:firstLine="420"/>
        <w:contextualSpacing/>
        <w:rPr>
          <w:rFonts w:hint="eastAsia" w:cs="宋体"/>
          <w:szCs w:val="21"/>
        </w:rPr>
      </w:pPr>
      <w:r>
        <w:rPr>
          <w:rFonts w:hint="eastAsia" w:cs="宋体"/>
          <w:szCs w:val="21"/>
        </w:rPr>
        <w:t>JB/T 9035      水力旋流器</w:t>
      </w:r>
    </w:p>
    <w:p w14:paraId="35D83C3C">
      <w:pPr>
        <w:pStyle w:val="3"/>
      </w:pPr>
      <w:r>
        <w:rPr>
          <w:rFonts w:hint="eastAsia"/>
        </w:rPr>
        <w:t>编制原则</w:t>
      </w:r>
    </w:p>
    <w:p w14:paraId="438B921A">
      <w:pPr>
        <w:ind w:firstLine="420"/>
      </w:pPr>
      <w:r>
        <w:t>1）规范性原则</w:t>
      </w:r>
    </w:p>
    <w:p w14:paraId="5C70D426">
      <w:pPr>
        <w:ind w:firstLine="420"/>
      </w:pPr>
      <w:r>
        <w:t>本标准按照GB/T 1.1-2020有关规定，确定标准的结构和内在关系，标准条文层次的划分符合GB/T 1.1的规定。</w:t>
      </w:r>
    </w:p>
    <w:p w14:paraId="6F879470">
      <w:pPr>
        <w:ind w:firstLine="420"/>
      </w:pPr>
      <w:r>
        <w:t>2）统一性原则</w:t>
      </w:r>
    </w:p>
    <w:p w14:paraId="3F567656">
      <w:pPr>
        <w:ind w:firstLine="420"/>
      </w:pPr>
      <w:r>
        <w:t>本标准的编写和表达方式在三个方面实现统一：一是标准结构的统一，即标准中的章、条、段、表、图和附录的排列顺序与GB/T1.1的要求统一；二是文体的统一，即类似的条款由类似的措辞来表达，相同的条款由相同的措辞来表达；三是术语的统一，即同一个概念使用同一个术语，每一个术语尽可能只有唯一的含义。</w:t>
      </w:r>
    </w:p>
    <w:p w14:paraId="73069F93">
      <w:pPr>
        <w:pStyle w:val="2"/>
        <w:rPr>
          <w:szCs w:val="21"/>
        </w:rPr>
      </w:pPr>
      <w:bookmarkStart w:id="3" w:name="_Toc25525"/>
      <w:r>
        <w:rPr>
          <w:rFonts w:hint="eastAsia"/>
        </w:rPr>
        <w:fldChar w:fldCharType="begin"/>
      </w:r>
      <w:r>
        <w:instrText xml:space="preserve"> HYPERLINK \l "_Toc234978610" </w:instrText>
      </w:r>
      <w:r>
        <w:rPr>
          <w:rFonts w:hint="eastAsia"/>
        </w:rPr>
        <w:fldChar w:fldCharType="separate"/>
      </w:r>
      <w:bookmarkStart w:id="4" w:name="_Toc198753631"/>
      <w:r>
        <w:rPr>
          <w:rFonts w:hint="eastAsia"/>
          <w:sz w:val="21"/>
          <w:szCs w:val="21"/>
        </w:rPr>
        <w:t>国内外相关标准研究</w:t>
      </w:r>
      <w:bookmarkEnd w:id="4"/>
      <w:r>
        <w:rPr>
          <w:rFonts w:hint="eastAsia"/>
          <w:sz w:val="21"/>
          <w:szCs w:val="21"/>
        </w:rPr>
        <w:fldChar w:fldCharType="end"/>
      </w:r>
      <w:bookmarkEnd w:id="3"/>
    </w:p>
    <w:p w14:paraId="6024BE8A">
      <w:pPr>
        <w:ind w:firstLine="420"/>
      </w:pPr>
      <w:r>
        <w:rPr>
          <w:rFonts w:hint="eastAsia"/>
        </w:rPr>
        <w:t>我国发布过JB/T 9035《水力旋流器》，为水力旋流器的设计提供了指导和规范；美国环保局（EPA）发布过如《</w:t>
      </w:r>
      <w:r>
        <w:t>Citizen's Guide Soil Washing</w:t>
      </w:r>
      <w:r>
        <w:rPr>
          <w:rFonts w:hint="eastAsia"/>
        </w:rPr>
        <w:t>》等，为土壤淋洗技术的应用提供了明确的指导和规范。然而，由于基于旋流增效洗脱的土壤淋洗修复技术具有高度复杂性，尚未发现有公开的相关技术规范，亟需制订一套完整的基于旋流增效洗脱的土壤淋洗修复技术规范加以指导。</w:t>
      </w:r>
    </w:p>
    <w:p w14:paraId="7CAEA2F3">
      <w:pPr>
        <w:pStyle w:val="2"/>
        <w:rPr>
          <w:szCs w:val="21"/>
        </w:rPr>
      </w:pPr>
      <w:bookmarkStart w:id="5" w:name="_Toc16134"/>
      <w:r>
        <w:rPr>
          <w:rFonts w:hint="eastAsia"/>
        </w:rPr>
        <w:fldChar w:fldCharType="begin"/>
      </w:r>
      <w:r>
        <w:instrText xml:space="preserve"> HYPERLINK \l "_Toc234978610" </w:instrText>
      </w:r>
      <w:r>
        <w:rPr>
          <w:rFonts w:hint="eastAsia"/>
        </w:rPr>
        <w:fldChar w:fldCharType="separate"/>
      </w:r>
      <w:bookmarkStart w:id="6" w:name="_Toc198753632"/>
      <w:r>
        <w:rPr>
          <w:rFonts w:hint="eastAsia"/>
          <w:sz w:val="21"/>
          <w:szCs w:val="21"/>
        </w:rPr>
        <w:t>同类工程现状调研</w:t>
      </w:r>
      <w:bookmarkEnd w:id="6"/>
      <w:r>
        <w:rPr>
          <w:rFonts w:hint="eastAsia"/>
          <w:sz w:val="21"/>
          <w:szCs w:val="21"/>
        </w:rPr>
        <w:fldChar w:fldCharType="end"/>
      </w:r>
      <w:bookmarkEnd w:id="5"/>
    </w:p>
    <w:p w14:paraId="52AE36EB">
      <w:pPr>
        <w:pStyle w:val="3"/>
        <w:rPr>
          <w:rFonts w:cs="黑体"/>
          <w:bCs w:val="0"/>
        </w:rPr>
      </w:pPr>
      <w:r>
        <w:rPr>
          <w:rFonts w:hint="eastAsia" w:cs="黑体"/>
          <w:bCs w:val="0"/>
        </w:rPr>
        <w:t>重金属污染土壤异位旋流淋洗修复案例汇总</w:t>
      </w:r>
    </w:p>
    <w:p w14:paraId="007DABEB">
      <w:pPr>
        <w:adjustRightInd w:val="0"/>
        <w:snapToGrid w:val="0"/>
        <w:ind w:firstLine="420"/>
      </w:pPr>
      <w:r>
        <w:t>编制组对</w:t>
      </w:r>
      <w:r>
        <w:rPr>
          <w:rFonts w:hint="eastAsia"/>
        </w:rPr>
        <w:t>重金属污染土壤异位旋流淋洗修复</w:t>
      </w:r>
      <w:r>
        <w:t>工程进行了广泛调研，结果如表1所示。</w:t>
      </w:r>
    </w:p>
    <w:p w14:paraId="703901FA">
      <w:pPr>
        <w:adjustRightInd w:val="0"/>
        <w:snapToGrid w:val="0"/>
        <w:ind w:firstLine="420"/>
        <w:jc w:val="center"/>
        <w:rPr>
          <w:rFonts w:ascii="黑体" w:hAnsi="黑体" w:eastAsia="黑体" w:cs="黑体"/>
          <w:szCs w:val="21"/>
        </w:rPr>
      </w:pPr>
      <w:r>
        <w:rPr>
          <w:rFonts w:hint="eastAsia" w:ascii="黑体" w:hAnsi="黑体" w:eastAsia="黑体" w:cs="黑体"/>
          <w:szCs w:val="21"/>
        </w:rPr>
        <w:t>表</w:t>
      </w:r>
      <w:r>
        <w:rPr>
          <w:rFonts w:ascii="黑体" w:hAnsi="黑体" w:eastAsia="黑体" w:cs="黑体"/>
          <w:szCs w:val="21"/>
        </w:rPr>
        <w:t xml:space="preserve">1  </w:t>
      </w:r>
      <w:r>
        <w:rPr>
          <w:rFonts w:hint="eastAsia" w:ascii="黑体" w:hAnsi="黑体" w:eastAsia="黑体" w:cs="黑体"/>
          <w:szCs w:val="21"/>
        </w:rPr>
        <w:t>重金属污染土壤异位旋流</w:t>
      </w:r>
      <w:r>
        <w:rPr>
          <w:rFonts w:hint="eastAsia" w:ascii="黑体" w:hAnsi="黑体" w:eastAsia="黑体"/>
        </w:rPr>
        <w:t>淋洗修复</w:t>
      </w:r>
      <w:r>
        <w:rPr>
          <w:rFonts w:ascii="黑体" w:hAnsi="黑体" w:eastAsia="黑体"/>
        </w:rPr>
        <w:t>工程</w:t>
      </w:r>
      <w:r>
        <w:rPr>
          <w:rFonts w:hint="eastAsia" w:ascii="黑体" w:hAnsi="黑体" w:eastAsia="黑体"/>
        </w:rPr>
        <w:t>对比</w:t>
      </w:r>
    </w:p>
    <w:tbl>
      <w:tblPr>
        <w:tblStyle w:val="3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2560"/>
        <w:gridCol w:w="1372"/>
        <w:gridCol w:w="4012"/>
      </w:tblGrid>
      <w:tr w14:paraId="3D268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39" w:type="pct"/>
            <w:noWrap/>
            <w:vAlign w:val="center"/>
          </w:tcPr>
          <w:p w14:paraId="560DC915">
            <w:pPr>
              <w:adjustRightInd w:val="0"/>
              <w:snapToGrid w:val="0"/>
              <w:ind w:firstLine="0" w:firstLineChars="0"/>
              <w:rPr>
                <w:sz w:val="18"/>
                <w:szCs w:val="18"/>
              </w:rPr>
            </w:pPr>
            <w:r>
              <w:rPr>
                <w:rFonts w:hint="eastAsia"/>
                <w:sz w:val="18"/>
                <w:szCs w:val="18"/>
              </w:rPr>
              <w:t>序号</w:t>
            </w:r>
          </w:p>
        </w:tc>
        <w:tc>
          <w:tcPr>
            <w:tcW w:w="1502" w:type="pct"/>
            <w:noWrap/>
            <w:vAlign w:val="center"/>
          </w:tcPr>
          <w:p w14:paraId="69E81A58">
            <w:pPr>
              <w:adjustRightInd w:val="0"/>
              <w:snapToGrid w:val="0"/>
              <w:ind w:firstLine="0" w:firstLineChars="0"/>
              <w:jc w:val="center"/>
              <w:rPr>
                <w:sz w:val="18"/>
                <w:szCs w:val="18"/>
              </w:rPr>
            </w:pPr>
            <w:r>
              <w:rPr>
                <w:rFonts w:hint="eastAsia"/>
                <w:sz w:val="18"/>
                <w:szCs w:val="18"/>
              </w:rPr>
              <w:t>项目名称</w:t>
            </w:r>
          </w:p>
        </w:tc>
        <w:tc>
          <w:tcPr>
            <w:tcW w:w="805" w:type="pct"/>
            <w:noWrap/>
            <w:vAlign w:val="center"/>
          </w:tcPr>
          <w:p w14:paraId="08479B82">
            <w:pPr>
              <w:adjustRightInd w:val="0"/>
              <w:snapToGrid w:val="0"/>
              <w:ind w:firstLine="0" w:firstLineChars="0"/>
              <w:jc w:val="center"/>
              <w:rPr>
                <w:sz w:val="18"/>
                <w:szCs w:val="18"/>
              </w:rPr>
            </w:pPr>
            <w:r>
              <w:rPr>
                <w:rFonts w:hint="eastAsia"/>
                <w:sz w:val="18"/>
                <w:szCs w:val="18"/>
              </w:rPr>
              <w:t>污染类型</w:t>
            </w:r>
          </w:p>
        </w:tc>
        <w:tc>
          <w:tcPr>
            <w:tcW w:w="2354" w:type="pct"/>
            <w:noWrap/>
            <w:vAlign w:val="center"/>
          </w:tcPr>
          <w:p w14:paraId="3E256F2B">
            <w:pPr>
              <w:adjustRightInd w:val="0"/>
              <w:snapToGrid w:val="0"/>
              <w:ind w:firstLine="0" w:firstLineChars="0"/>
              <w:jc w:val="center"/>
              <w:rPr>
                <w:sz w:val="18"/>
                <w:szCs w:val="18"/>
              </w:rPr>
            </w:pPr>
            <w:r>
              <w:rPr>
                <w:rFonts w:hint="eastAsia"/>
                <w:sz w:val="18"/>
                <w:szCs w:val="18"/>
              </w:rPr>
              <w:t>修复结果</w:t>
            </w:r>
          </w:p>
        </w:tc>
      </w:tr>
      <w:tr w14:paraId="2C68F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339" w:type="pct"/>
            <w:noWrap/>
            <w:vAlign w:val="center"/>
          </w:tcPr>
          <w:p w14:paraId="0B01E46B">
            <w:pPr>
              <w:adjustRightInd w:val="0"/>
              <w:snapToGrid w:val="0"/>
              <w:ind w:firstLine="0" w:firstLineChars="0"/>
              <w:jc w:val="center"/>
              <w:rPr>
                <w:sz w:val="18"/>
                <w:szCs w:val="18"/>
              </w:rPr>
            </w:pPr>
            <w:r>
              <w:rPr>
                <w:sz w:val="18"/>
                <w:szCs w:val="18"/>
              </w:rPr>
              <w:t>1</w:t>
            </w:r>
          </w:p>
        </w:tc>
        <w:tc>
          <w:tcPr>
            <w:tcW w:w="1502" w:type="pct"/>
            <w:noWrap/>
            <w:vAlign w:val="center"/>
          </w:tcPr>
          <w:p w14:paraId="62A488C7">
            <w:pPr>
              <w:adjustRightInd w:val="0"/>
              <w:snapToGrid w:val="0"/>
              <w:ind w:firstLine="0" w:firstLineChars="0"/>
              <w:jc w:val="left"/>
              <w:rPr>
                <w:sz w:val="18"/>
                <w:szCs w:val="18"/>
              </w:rPr>
            </w:pPr>
            <w:r>
              <w:rPr>
                <w:rFonts w:hint="eastAsia"/>
                <w:sz w:val="18"/>
                <w:szCs w:val="18"/>
              </w:rPr>
              <w:t>上海桃浦智创城核心区</w:t>
            </w:r>
            <w:r>
              <w:rPr>
                <w:sz w:val="18"/>
                <w:szCs w:val="18"/>
              </w:rPr>
              <w:t>612</w:t>
            </w:r>
            <w:r>
              <w:rPr>
                <w:rFonts w:hint="eastAsia"/>
                <w:sz w:val="18"/>
                <w:szCs w:val="18"/>
              </w:rPr>
              <w:t>地块场地污染土壤修复工程</w:t>
            </w:r>
          </w:p>
        </w:tc>
        <w:tc>
          <w:tcPr>
            <w:tcW w:w="805" w:type="pct"/>
            <w:noWrap/>
            <w:vAlign w:val="center"/>
          </w:tcPr>
          <w:p w14:paraId="5D202510">
            <w:pPr>
              <w:adjustRightInd w:val="0"/>
              <w:snapToGrid w:val="0"/>
              <w:ind w:firstLine="0" w:firstLineChars="0"/>
              <w:jc w:val="center"/>
              <w:rPr>
                <w:sz w:val="18"/>
                <w:szCs w:val="18"/>
              </w:rPr>
            </w:pPr>
            <w:r>
              <w:rPr>
                <w:rFonts w:hint="eastAsia"/>
                <w:sz w:val="18"/>
                <w:szCs w:val="18"/>
              </w:rPr>
              <w:t>重金属与总石油烃复合污染</w:t>
            </w:r>
          </w:p>
        </w:tc>
        <w:tc>
          <w:tcPr>
            <w:tcW w:w="2354" w:type="pct"/>
            <w:noWrap/>
            <w:vAlign w:val="center"/>
          </w:tcPr>
          <w:p w14:paraId="353AD0CC">
            <w:pPr>
              <w:adjustRightInd w:val="0"/>
              <w:snapToGrid w:val="0"/>
              <w:ind w:firstLine="0" w:firstLineChars="0"/>
              <w:rPr>
                <w:sz w:val="18"/>
                <w:szCs w:val="18"/>
              </w:rPr>
            </w:pPr>
            <w:r>
              <w:rPr>
                <w:rFonts w:hint="eastAsia"/>
                <w:sz w:val="18"/>
                <w:szCs w:val="18"/>
              </w:rPr>
              <w:t>修复后土壤中汞的浓度低于修复目标值</w:t>
            </w:r>
            <w:r>
              <w:rPr>
                <w:sz w:val="18"/>
                <w:szCs w:val="18"/>
              </w:rPr>
              <w:t>38 mg/kg</w:t>
            </w:r>
            <w:r>
              <w:rPr>
                <w:rFonts w:hint="eastAsia"/>
                <w:sz w:val="18"/>
                <w:szCs w:val="18"/>
              </w:rPr>
              <w:t>，石油烃的浓度低于修复目标值</w:t>
            </w:r>
            <w:r>
              <w:rPr>
                <w:sz w:val="18"/>
                <w:szCs w:val="18"/>
              </w:rPr>
              <w:t>9000mg/kg</w:t>
            </w:r>
            <w:r>
              <w:rPr>
                <w:rFonts w:hint="eastAsia"/>
                <w:sz w:val="18"/>
                <w:szCs w:val="18"/>
              </w:rPr>
              <w:t>。</w:t>
            </w:r>
          </w:p>
        </w:tc>
      </w:tr>
      <w:tr w14:paraId="2A9EF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339" w:type="pct"/>
            <w:noWrap/>
            <w:vAlign w:val="center"/>
          </w:tcPr>
          <w:p w14:paraId="50ECFE17">
            <w:pPr>
              <w:adjustRightInd w:val="0"/>
              <w:snapToGrid w:val="0"/>
              <w:ind w:firstLine="0" w:firstLineChars="0"/>
              <w:jc w:val="center"/>
              <w:rPr>
                <w:sz w:val="18"/>
                <w:szCs w:val="18"/>
              </w:rPr>
            </w:pPr>
            <w:r>
              <w:rPr>
                <w:sz w:val="18"/>
                <w:szCs w:val="18"/>
              </w:rPr>
              <w:t>2</w:t>
            </w:r>
          </w:p>
        </w:tc>
        <w:tc>
          <w:tcPr>
            <w:tcW w:w="1502" w:type="pct"/>
            <w:noWrap/>
            <w:vAlign w:val="center"/>
          </w:tcPr>
          <w:p w14:paraId="2EDC8DDA">
            <w:pPr>
              <w:adjustRightInd w:val="0"/>
              <w:snapToGrid w:val="0"/>
              <w:ind w:firstLine="0" w:firstLineChars="0"/>
              <w:jc w:val="left"/>
              <w:rPr>
                <w:sz w:val="18"/>
                <w:szCs w:val="18"/>
              </w:rPr>
            </w:pPr>
            <w:r>
              <w:rPr>
                <w:rFonts w:hint="eastAsia"/>
                <w:sz w:val="18"/>
                <w:szCs w:val="18"/>
              </w:rPr>
              <w:t>上海桃浦智创城核心区</w:t>
            </w:r>
            <w:r>
              <w:rPr>
                <w:sz w:val="18"/>
                <w:szCs w:val="18"/>
              </w:rPr>
              <w:t>603</w:t>
            </w:r>
            <w:r>
              <w:rPr>
                <w:rFonts w:hint="eastAsia"/>
                <w:sz w:val="18"/>
                <w:szCs w:val="18"/>
              </w:rPr>
              <w:t>地块场地污染土壤修复工程</w:t>
            </w:r>
          </w:p>
        </w:tc>
        <w:tc>
          <w:tcPr>
            <w:tcW w:w="805" w:type="pct"/>
            <w:noWrap/>
            <w:vAlign w:val="center"/>
          </w:tcPr>
          <w:p w14:paraId="5E3AA156">
            <w:pPr>
              <w:adjustRightInd w:val="0"/>
              <w:snapToGrid w:val="0"/>
              <w:ind w:firstLine="0" w:firstLineChars="0"/>
              <w:jc w:val="center"/>
              <w:rPr>
                <w:sz w:val="18"/>
                <w:szCs w:val="18"/>
              </w:rPr>
            </w:pPr>
            <w:r>
              <w:rPr>
                <w:sz w:val="18"/>
                <w:szCs w:val="18"/>
              </w:rPr>
              <w:t>重金属-有机</w:t>
            </w:r>
            <w:r>
              <w:rPr>
                <w:rFonts w:hint="eastAsia"/>
                <w:sz w:val="18"/>
                <w:szCs w:val="18"/>
              </w:rPr>
              <w:t>复合污染</w:t>
            </w:r>
          </w:p>
        </w:tc>
        <w:tc>
          <w:tcPr>
            <w:tcW w:w="2354" w:type="pct"/>
            <w:noWrap/>
            <w:vAlign w:val="center"/>
          </w:tcPr>
          <w:p w14:paraId="0A4C427A">
            <w:pPr>
              <w:adjustRightInd w:val="0"/>
              <w:snapToGrid w:val="0"/>
              <w:ind w:firstLine="0" w:firstLineChars="0"/>
              <w:jc w:val="left"/>
              <w:rPr>
                <w:sz w:val="18"/>
                <w:szCs w:val="18"/>
              </w:rPr>
            </w:pPr>
            <w:r>
              <w:rPr>
                <w:rFonts w:hint="eastAsia"/>
                <w:sz w:val="18"/>
                <w:szCs w:val="18"/>
              </w:rPr>
              <w:t>修复后土壤中</w:t>
            </w:r>
            <w:r>
              <w:rPr>
                <w:sz w:val="18"/>
                <w:szCs w:val="18"/>
              </w:rPr>
              <w:t>重金属As</w:t>
            </w:r>
            <w:r>
              <w:rPr>
                <w:rFonts w:hint="eastAsia"/>
                <w:sz w:val="18"/>
                <w:szCs w:val="18"/>
              </w:rPr>
              <w:t>、苯胺、苯并</w:t>
            </w:r>
            <w:r>
              <w:rPr>
                <w:sz w:val="18"/>
                <w:szCs w:val="18"/>
              </w:rPr>
              <w:t>(a)</w:t>
            </w:r>
            <w:r>
              <w:rPr>
                <w:rFonts w:hint="eastAsia"/>
                <w:sz w:val="18"/>
                <w:szCs w:val="18"/>
              </w:rPr>
              <w:t>芘</w:t>
            </w:r>
            <w:r>
              <w:rPr>
                <w:sz w:val="18"/>
                <w:szCs w:val="18"/>
              </w:rPr>
              <w:t>和TPH修复</w:t>
            </w:r>
            <w:r>
              <w:rPr>
                <w:rFonts w:hint="eastAsia"/>
                <w:sz w:val="18"/>
                <w:szCs w:val="18"/>
              </w:rPr>
              <w:t>目标</w:t>
            </w:r>
            <w:r>
              <w:rPr>
                <w:sz w:val="18"/>
                <w:szCs w:val="18"/>
              </w:rPr>
              <w:t>值分别</w:t>
            </w:r>
            <w:r>
              <w:rPr>
                <w:rFonts w:hint="eastAsia"/>
                <w:sz w:val="18"/>
                <w:szCs w:val="18"/>
              </w:rPr>
              <w:t>低于</w:t>
            </w:r>
            <w:r>
              <w:rPr>
                <w:sz w:val="18"/>
                <w:szCs w:val="18"/>
              </w:rPr>
              <w:t xml:space="preserve">GB 36600-2018 </w:t>
            </w:r>
            <w:r>
              <w:rPr>
                <w:rFonts w:hint="eastAsia"/>
                <w:sz w:val="18"/>
                <w:szCs w:val="18"/>
              </w:rPr>
              <w:t>规定的</w:t>
            </w:r>
            <w:r>
              <w:rPr>
                <w:sz w:val="18"/>
                <w:szCs w:val="18"/>
              </w:rPr>
              <w:t>第一类用地筛选值</w:t>
            </w:r>
            <w:r>
              <w:rPr>
                <w:rFonts w:hint="eastAsia"/>
                <w:sz w:val="18"/>
                <w:szCs w:val="18"/>
              </w:rPr>
              <w:t>，即分别小于</w:t>
            </w:r>
            <w:r>
              <w:rPr>
                <w:sz w:val="18"/>
                <w:szCs w:val="18"/>
              </w:rPr>
              <w:t>20 mg/kg、92 mg/kg、0.55 mg/kg、826mg/kg。</w:t>
            </w:r>
          </w:p>
        </w:tc>
      </w:tr>
    </w:tbl>
    <w:p w14:paraId="3008FC1E">
      <w:pPr>
        <w:pStyle w:val="2"/>
        <w:rPr>
          <w:b/>
          <w:bCs/>
          <w:szCs w:val="21"/>
        </w:rPr>
      </w:pPr>
      <w:r>
        <w:fldChar w:fldCharType="begin"/>
      </w:r>
      <w:r>
        <w:instrText xml:space="preserve"> HYPERLINK \l "_Toc234978613" </w:instrText>
      </w:r>
      <w:r>
        <w:fldChar w:fldCharType="separate"/>
      </w:r>
      <w:bookmarkStart w:id="7" w:name="_Toc198753633"/>
      <w:r>
        <w:rPr>
          <w:rFonts w:hint="eastAsia"/>
          <w:szCs w:val="21"/>
        </w:rPr>
        <w:t>主要技术内容及说明</w:t>
      </w:r>
      <w:bookmarkEnd w:id="7"/>
      <w:r>
        <w:rPr>
          <w:rFonts w:hint="eastAsia"/>
          <w:szCs w:val="21"/>
        </w:rPr>
        <w:fldChar w:fldCharType="end"/>
      </w:r>
    </w:p>
    <w:p w14:paraId="63BCDCB8">
      <w:pPr>
        <w:pStyle w:val="3"/>
      </w:pPr>
      <w:bookmarkStart w:id="8" w:name="OLE_LINK1"/>
      <w:r>
        <w:rPr>
          <w:rFonts w:hint="eastAsia"/>
        </w:rPr>
        <w:t>范围</w:t>
      </w:r>
    </w:p>
    <w:p w14:paraId="5EF9A717">
      <w:pPr>
        <w:ind w:firstLine="420"/>
      </w:pPr>
      <w:r>
        <w:rPr>
          <w:rFonts w:hint="eastAsia"/>
        </w:rPr>
        <w:t>本文件规定了重金属污染土壤异位旋流淋洗技术的基本规定、工艺设计及设备要求、检测与过程控制、施工与验收、运行与维护，并提供了相应的证实方法。</w:t>
      </w:r>
    </w:p>
    <w:p w14:paraId="2A8C14B8">
      <w:pPr>
        <w:ind w:firstLine="420"/>
      </w:pPr>
      <w:r>
        <w:rPr>
          <w:rFonts w:hint="eastAsia"/>
        </w:rPr>
        <w:t>本文件适用于重金属污染土壤异位旋流淋洗技术修复工程的设计、施工、验收及运行维护。</w:t>
      </w:r>
    </w:p>
    <w:p w14:paraId="308860DF">
      <w:pPr>
        <w:ind w:firstLine="420"/>
      </w:pPr>
      <w:r>
        <w:rPr>
          <w:rFonts w:hint="eastAsia"/>
        </w:rPr>
        <w:t>重金属污染土壤异位旋流淋洗技术可适用于砷、铬、镉、铅、铜、锑等重金属污染土壤。</w:t>
      </w:r>
    </w:p>
    <w:p w14:paraId="5E72D598">
      <w:pPr>
        <w:pStyle w:val="3"/>
      </w:pPr>
      <w:r>
        <w:rPr>
          <w:rFonts w:hint="eastAsia"/>
        </w:rPr>
        <w:t>规范性引用文件</w:t>
      </w:r>
    </w:p>
    <w:p w14:paraId="76791383">
      <w:pPr>
        <w:ind w:firstLine="420"/>
      </w:pPr>
      <w:r>
        <w:rPr>
          <w:rFonts w:hint="eastAsia"/>
        </w:rPr>
        <w:t>现行的国家法律法规、建设用地系列土壤生态环境标准、污染物排放治理类的环境标准及相关的行业标准是制定本标准的依据。</w:t>
      </w:r>
    </w:p>
    <w:p w14:paraId="1DEE8CFE">
      <w:pPr>
        <w:ind w:firstLine="420"/>
      </w:pPr>
      <w:r>
        <w:rPr>
          <w:rFonts w:hint="eastAsia"/>
        </w:rPr>
        <w:t>环境质量、排放标准、环境影响、污染物毒性浸出方法等引用国家和行业的相关标准。有关施工和成品保护等方面的技术要求引用国家和行业的相关标准。</w:t>
      </w:r>
    </w:p>
    <w:p w14:paraId="63A39E40">
      <w:pPr>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115ED871">
      <w:pPr>
        <w:ind w:firstLine="420"/>
        <w:rPr>
          <w:rFonts w:hint="eastAsia"/>
        </w:rPr>
      </w:pPr>
      <w:bookmarkStart w:id="9" w:name="_Hlk198731400"/>
      <w:r>
        <w:rPr>
          <w:rFonts w:hint="eastAsia"/>
        </w:rPr>
        <w:t>GB 12348       工业企业厂界环境噪声排放标准</w:t>
      </w:r>
    </w:p>
    <w:p w14:paraId="7EA2120E">
      <w:pPr>
        <w:ind w:firstLine="420"/>
        <w:rPr>
          <w:rFonts w:hint="eastAsia"/>
        </w:rPr>
      </w:pPr>
      <w:r>
        <w:rPr>
          <w:rFonts w:hint="eastAsia"/>
        </w:rPr>
        <w:t>GB 15618       土壤环境质量 农用地土壤污染风险管控标准（试行）</w:t>
      </w:r>
    </w:p>
    <w:p w14:paraId="2A9BAD55">
      <w:pPr>
        <w:ind w:firstLine="420"/>
        <w:rPr>
          <w:rFonts w:hint="eastAsia"/>
        </w:rPr>
      </w:pPr>
      <w:r>
        <w:rPr>
          <w:rFonts w:hint="eastAsia"/>
        </w:rPr>
        <w:t>GB 18597       危险废物贮存污染控制标准</w:t>
      </w:r>
    </w:p>
    <w:p w14:paraId="31554E4D">
      <w:pPr>
        <w:ind w:firstLine="420"/>
        <w:rPr>
          <w:rFonts w:hint="eastAsia"/>
        </w:rPr>
      </w:pPr>
      <w:r>
        <w:rPr>
          <w:rFonts w:hint="eastAsia"/>
        </w:rPr>
        <w:t>GB 16297       大气污染物综合排放标准</w:t>
      </w:r>
    </w:p>
    <w:p w14:paraId="30A9B132">
      <w:pPr>
        <w:ind w:firstLine="420"/>
        <w:rPr>
          <w:rFonts w:hint="eastAsia"/>
        </w:rPr>
      </w:pPr>
      <w:r>
        <w:rPr>
          <w:rFonts w:hint="eastAsia"/>
        </w:rPr>
        <w:t>GB/T 20801.4 压力管道规范 工业管道 第4部分:制作与安装</w:t>
      </w:r>
    </w:p>
    <w:p w14:paraId="78FFA11B">
      <w:pPr>
        <w:ind w:firstLine="420"/>
        <w:rPr>
          <w:rFonts w:hint="eastAsia"/>
        </w:rPr>
      </w:pPr>
      <w:r>
        <w:rPr>
          <w:rFonts w:hint="eastAsia"/>
        </w:rPr>
        <w:t>GB 36600       土壤环境质量 建设用地土壤污染风险管控标准（试行）</w:t>
      </w:r>
    </w:p>
    <w:p w14:paraId="01D46FC4">
      <w:pPr>
        <w:ind w:firstLine="420"/>
        <w:rPr>
          <w:rFonts w:hint="eastAsia"/>
        </w:rPr>
      </w:pPr>
      <w:r>
        <w:rPr>
          <w:rFonts w:hint="eastAsia"/>
        </w:rPr>
        <w:t>GB 50202       建筑地基基础工程施工质量验收标准</w:t>
      </w:r>
    </w:p>
    <w:p w14:paraId="4DD0557E">
      <w:pPr>
        <w:ind w:firstLine="420"/>
        <w:rPr>
          <w:rFonts w:hint="eastAsia"/>
        </w:rPr>
      </w:pPr>
      <w:r>
        <w:rPr>
          <w:rFonts w:hint="eastAsia"/>
        </w:rPr>
        <w:t>GB 50275       风机、压缩机、泵安装工程施工及验收规范</w:t>
      </w:r>
    </w:p>
    <w:p w14:paraId="4C6CB1D2">
      <w:pPr>
        <w:ind w:firstLine="420"/>
        <w:rPr>
          <w:rFonts w:hint="eastAsia"/>
        </w:rPr>
      </w:pPr>
      <w:r>
        <w:rPr>
          <w:rFonts w:hint="eastAsia"/>
        </w:rPr>
        <w:t>GB 50727       工业设备及管道防腐蚀工程施工质量验收规范</w:t>
      </w:r>
    </w:p>
    <w:p w14:paraId="00EE971D">
      <w:pPr>
        <w:ind w:firstLine="420"/>
        <w:rPr>
          <w:rFonts w:hint="eastAsia"/>
        </w:rPr>
      </w:pPr>
      <w:r>
        <w:rPr>
          <w:rFonts w:hint="eastAsia"/>
        </w:rPr>
        <w:t>HJ 25.2        建设用地土壤污染风险管控和修复监测技术导则</w:t>
      </w:r>
    </w:p>
    <w:p w14:paraId="5C27F47F">
      <w:pPr>
        <w:ind w:firstLine="420"/>
        <w:rPr>
          <w:rFonts w:hint="eastAsia"/>
        </w:rPr>
      </w:pPr>
      <w:r>
        <w:rPr>
          <w:rFonts w:hint="eastAsia"/>
        </w:rPr>
        <w:t>HJ 25.4        建设用地土壤修复技术导则</w:t>
      </w:r>
    </w:p>
    <w:p w14:paraId="03DB987D">
      <w:pPr>
        <w:ind w:firstLine="420"/>
        <w:rPr>
          <w:rFonts w:hint="eastAsia"/>
        </w:rPr>
      </w:pPr>
      <w:r>
        <w:rPr>
          <w:rFonts w:hint="eastAsia"/>
        </w:rPr>
        <w:t>HJ 25.5        污染地块风险管控与土壤修复效果评估技术导则</w:t>
      </w:r>
    </w:p>
    <w:p w14:paraId="1A75A504">
      <w:pPr>
        <w:ind w:firstLine="420"/>
        <w:rPr>
          <w:rFonts w:hint="eastAsia"/>
        </w:rPr>
      </w:pPr>
      <w:r>
        <w:rPr>
          <w:rFonts w:hint="eastAsia"/>
        </w:rPr>
        <w:t>HJ 682         建设用地土壤污染风险管控和修复术语</w:t>
      </w:r>
    </w:p>
    <w:p w14:paraId="2E48475F">
      <w:pPr>
        <w:ind w:firstLine="420"/>
        <w:rPr>
          <w:rFonts w:hint="eastAsia"/>
        </w:rPr>
      </w:pPr>
      <w:r>
        <w:rPr>
          <w:rFonts w:hint="eastAsia"/>
        </w:rPr>
        <w:t>HG/T 4380     液－固微旋流分离器技术条件</w:t>
      </w:r>
    </w:p>
    <w:p w14:paraId="3558F0F6">
      <w:pPr>
        <w:ind w:firstLine="420"/>
      </w:pPr>
      <w:r>
        <w:rPr>
          <w:rFonts w:hint="eastAsia"/>
        </w:rPr>
        <w:t>JB/T 9035      水力旋流器</w:t>
      </w:r>
    </w:p>
    <w:bookmarkEnd w:id="9"/>
    <w:p w14:paraId="3020EB7A">
      <w:pPr>
        <w:pStyle w:val="3"/>
      </w:pPr>
      <w:r>
        <w:rPr>
          <w:rFonts w:hint="eastAsia"/>
        </w:rPr>
        <w:t>术语和定义</w:t>
      </w:r>
    </w:p>
    <w:p w14:paraId="79F6868D">
      <w:pPr>
        <w:ind w:firstLine="420"/>
      </w:pPr>
      <w:r>
        <w:rPr>
          <w:rFonts w:hint="eastAsia"/>
        </w:rPr>
        <w:t>本标准规定了4个术语，分别是土壤异位淋洗、旋流分离、淋洗剂、旋流分级，主要术语说明如下。</w:t>
      </w:r>
    </w:p>
    <w:p w14:paraId="0194CA42">
      <w:pPr>
        <w:spacing w:line="264" w:lineRule="auto"/>
        <w:ind w:firstLine="420"/>
      </w:pPr>
      <w:bookmarkStart w:id="10" w:name="_Hlk164674279"/>
      <w:r>
        <w:rPr>
          <w:rFonts w:hint="eastAsia" w:ascii="黑体" w:hAnsi="黑体" w:eastAsia="黑体"/>
        </w:rPr>
        <w:t>土壤异位淋洗</w:t>
      </w:r>
    </w:p>
    <w:p w14:paraId="44200358">
      <w:pPr>
        <w:pStyle w:val="87"/>
        <w:ind w:firstLine="420"/>
        <w:rPr>
          <w:rFonts w:ascii="宋体" w:hAnsi="宋体"/>
        </w:rPr>
      </w:pPr>
      <w:r>
        <w:rPr>
          <w:rFonts w:hint="eastAsia"/>
        </w:rPr>
        <w:t>使用清水或淋洗剂对挖掘的污染土壤进行洗涤，使污染土壤中的无机污染物和有机污染物从土壤转移到溶液中，达到清除土壤污染物的目的。</w:t>
      </w:r>
    </w:p>
    <w:p w14:paraId="1B2D17BF">
      <w:pPr>
        <w:ind w:firstLine="422"/>
        <w:rPr>
          <w:rFonts w:ascii="宋体" w:hAnsi="宋体"/>
        </w:rPr>
      </w:pPr>
      <w:r>
        <w:rPr>
          <w:rFonts w:hint="eastAsia" w:ascii="宋体" w:hAnsi="宋体"/>
          <w:b/>
          <w:bCs/>
        </w:rPr>
        <w:t>说明</w:t>
      </w:r>
      <w:r>
        <w:rPr>
          <w:rFonts w:hint="eastAsia" w:ascii="宋体" w:hAnsi="宋体"/>
        </w:rPr>
        <w:t>：该术语来源于</w:t>
      </w:r>
      <w:r>
        <w:rPr>
          <w:rFonts w:cs="宋体"/>
          <w:szCs w:val="21"/>
        </w:rPr>
        <w:t>HJ 682</w:t>
      </w:r>
      <w:r>
        <w:rPr>
          <w:rFonts w:hint="eastAsia" w:ascii="宋体" w:hAnsi="宋体"/>
        </w:rPr>
        <w:t>《</w:t>
      </w:r>
      <w:r>
        <w:rPr>
          <w:rFonts w:cs="宋体"/>
          <w:szCs w:val="21"/>
        </w:rPr>
        <w:t>建设用地土壤污染风险管控和修复术语</w:t>
      </w:r>
      <w:r>
        <w:rPr>
          <w:rFonts w:hint="eastAsia" w:ascii="宋体" w:hAnsi="宋体"/>
        </w:rPr>
        <w:t>》，本标准在原本含义不变的情况下修改了部分措辞以更贴合本技术规范。</w:t>
      </w:r>
    </w:p>
    <w:p w14:paraId="6718B337">
      <w:pPr>
        <w:widowControl/>
        <w:ind w:firstLine="420"/>
        <w:rPr>
          <w:rFonts w:ascii="黑体" w:hAnsi="黑体" w:eastAsia="黑体"/>
          <w:kern w:val="0"/>
          <w:szCs w:val="20"/>
        </w:rPr>
      </w:pPr>
      <w:r>
        <w:rPr>
          <w:rFonts w:hint="eastAsia" w:ascii="黑体" w:hAnsi="黑体" w:eastAsia="黑体"/>
          <w:kern w:val="0"/>
          <w:szCs w:val="20"/>
        </w:rPr>
        <w:t>旋流分离</w:t>
      </w:r>
    </w:p>
    <w:p w14:paraId="39A02C9B">
      <w:pPr>
        <w:ind w:firstLine="420"/>
      </w:pPr>
      <w:r>
        <w:rPr>
          <w:rFonts w:hint="eastAsia"/>
        </w:rPr>
        <w:t>当分散相和连续相存在密度和粒度差异时，利用分散相和连续相在旋流分离器中所受离心力不同实现分散相从连续相中去除的过程。</w:t>
      </w:r>
    </w:p>
    <w:p w14:paraId="21C4493A">
      <w:pPr>
        <w:widowControl/>
        <w:ind w:firstLine="422"/>
        <w:rPr>
          <w:kern w:val="0"/>
          <w:szCs w:val="20"/>
        </w:rPr>
      </w:pPr>
      <w:r>
        <w:rPr>
          <w:rFonts w:hint="eastAsia"/>
          <w:b/>
          <w:bCs/>
          <w:kern w:val="0"/>
          <w:szCs w:val="20"/>
        </w:rPr>
        <w:t>说明：</w:t>
      </w:r>
      <w:r>
        <w:rPr>
          <w:rFonts w:hint="eastAsia"/>
          <w:kern w:val="0"/>
          <w:szCs w:val="20"/>
        </w:rPr>
        <w:t>旋流分离是一种基于离心力的物理分离技术，适用于两相体系（如固-液、液-液、气-液等）,由于分散相（如固体颗粒、油滴）和连续相（如水、空气）的密度差</w:t>
      </w:r>
      <w:r>
        <w:rPr>
          <w:kern w:val="0"/>
          <w:szCs w:val="20"/>
        </w:rPr>
        <w:t>​​</w:t>
      </w:r>
      <w:r>
        <w:rPr>
          <w:rFonts w:hint="eastAsia" w:ascii="宋体" w:hAnsi="宋体" w:cs="宋体"/>
          <w:kern w:val="0"/>
          <w:szCs w:val="20"/>
        </w:rPr>
        <w:t>和粒度差，它们在旋转流场中受到不同的离心力，进而实现分离，该术语主要结合国内外相关研究进行了定义</w:t>
      </w:r>
      <w:r>
        <w:rPr>
          <w:rFonts w:hint="eastAsia"/>
          <w:kern w:val="0"/>
          <w:szCs w:val="20"/>
        </w:rPr>
        <w:t>。</w:t>
      </w:r>
    </w:p>
    <w:bookmarkEnd w:id="10"/>
    <w:p w14:paraId="2BF4B1FC">
      <w:pPr>
        <w:pStyle w:val="87"/>
        <w:ind w:firstLine="420"/>
        <w:rPr>
          <w:rFonts w:ascii="黑体" w:hAnsi="黑体" w:eastAsia="黑体" w:cs="黑体"/>
        </w:rPr>
      </w:pPr>
      <w:bookmarkStart w:id="11" w:name="_Hlk160542258"/>
      <w:bookmarkStart w:id="12" w:name="_Hlk137547668"/>
      <w:bookmarkStart w:id="13" w:name="_Hlk164674294"/>
      <w:r>
        <w:rPr>
          <w:rFonts w:hint="eastAsia" w:ascii="黑体" w:hAnsi="黑体" w:eastAsia="黑体" w:cs="黑体"/>
        </w:rPr>
        <w:t>旋流分级</w:t>
      </w:r>
      <w:bookmarkEnd w:id="11"/>
    </w:p>
    <w:bookmarkEnd w:id="12"/>
    <w:bookmarkEnd w:id="13"/>
    <w:p w14:paraId="655CE1D8">
      <w:pPr>
        <w:pStyle w:val="87"/>
        <w:ind w:firstLine="420"/>
      </w:pPr>
      <w:r>
        <w:rPr>
          <w:rFonts w:hint="eastAsia"/>
        </w:rPr>
        <w:t>利用旋流分离器对土壤浆料中的粗颗粒和细颗粒分级的过程，污染物浓度低的粗颗粒从旋流分离器底流口排出，污染物浓度高的细颗粒从溢流口排出。</w:t>
      </w:r>
    </w:p>
    <w:p w14:paraId="3750F861">
      <w:pPr>
        <w:ind w:firstLine="422"/>
        <w:rPr>
          <w:szCs w:val="21"/>
        </w:rPr>
      </w:pPr>
      <w:r>
        <w:rPr>
          <w:rFonts w:hint="eastAsia" w:ascii="宋体" w:hAnsi="宋体"/>
          <w:b/>
          <w:bCs/>
        </w:rPr>
        <w:t>说明：</w:t>
      </w:r>
      <w:r>
        <w:rPr>
          <w:rFonts w:hint="eastAsia" w:ascii="宋体" w:hAnsi="宋体"/>
        </w:rPr>
        <w:t>在污染土壤修复中，旋流分级利用污染物（如重金属、有机污染物）通常富集在细颗粒的特性（因比表面积大、吸附能力强），实现污染物的选择性分离</w:t>
      </w:r>
      <w:r>
        <w:rPr>
          <w:rFonts w:hint="eastAsia"/>
          <w:szCs w:val="21"/>
        </w:rPr>
        <w:t>，</w:t>
      </w:r>
      <w:r>
        <w:rPr>
          <w:rFonts w:hint="eastAsia" w:ascii="宋体" w:hAnsi="宋体"/>
        </w:rPr>
        <w:t>国内外对旋流分级技术开展了大量研究，该术语主要结合国内外相关研究进行了定义</w:t>
      </w:r>
      <w:r>
        <w:rPr>
          <w:rFonts w:hint="eastAsia"/>
          <w:szCs w:val="21"/>
        </w:rPr>
        <w:t>。</w:t>
      </w:r>
    </w:p>
    <w:p w14:paraId="38558412">
      <w:pPr>
        <w:pStyle w:val="87"/>
        <w:ind w:firstLine="422"/>
        <w:rPr>
          <w:rFonts w:eastAsia="宋体"/>
          <w:b/>
          <w:bCs/>
        </w:rPr>
      </w:pPr>
      <w:bookmarkStart w:id="14" w:name="_Hlk164674315"/>
      <w:r>
        <w:rPr>
          <w:rFonts w:hint="eastAsia" w:eastAsia="宋体"/>
          <w:b/>
          <w:bCs/>
        </w:rPr>
        <w:t>淋洗剂</w:t>
      </w:r>
    </w:p>
    <w:p w14:paraId="4A1A2D5A">
      <w:pPr>
        <w:ind w:firstLine="420"/>
        <w:rPr>
          <w:rFonts w:asciiTheme="minorHAnsi" w:hAnsiTheme="minorHAnsi" w:eastAsiaTheme="minorEastAsia" w:cstheme="minorBidi"/>
          <w:kern w:val="0"/>
          <w:szCs w:val="20"/>
        </w:rPr>
      </w:pPr>
      <w:r>
        <w:rPr>
          <w:rFonts w:hint="eastAsia" w:asciiTheme="minorHAnsi" w:hAnsiTheme="minorHAnsi" w:eastAsiaTheme="minorEastAsia" w:cstheme="minorBidi"/>
          <w:kern w:val="0"/>
          <w:szCs w:val="20"/>
        </w:rPr>
        <w:t>土壤淋洗过程中，通过溶解、络合或吸附等机制与污染物结合，使土壤中的污染物分离出来的药剂。</w:t>
      </w:r>
    </w:p>
    <w:p w14:paraId="15BD9676">
      <w:pPr>
        <w:ind w:firstLine="422"/>
        <w:rPr>
          <w:szCs w:val="21"/>
        </w:rPr>
      </w:pPr>
      <w:r>
        <w:rPr>
          <w:rFonts w:hint="eastAsia"/>
          <w:b/>
          <w:bCs/>
        </w:rPr>
        <w:t>说明：</w:t>
      </w:r>
      <w:r>
        <w:rPr>
          <w:rFonts w:hint="eastAsia"/>
        </w:rPr>
        <w:t>针对不同污染土壤，选择合适的淋洗剂尤为重要。</w:t>
      </w:r>
      <w:r>
        <w:rPr>
          <w:rFonts w:hint="eastAsia" w:ascii="宋体" w:hAnsi="宋体"/>
        </w:rPr>
        <w:t>该术语主要结合国内外相关研究进行了定义</w:t>
      </w:r>
      <w:r>
        <w:rPr>
          <w:rFonts w:hint="eastAsia"/>
          <w:szCs w:val="21"/>
        </w:rPr>
        <w:t>。</w:t>
      </w:r>
    </w:p>
    <w:bookmarkEnd w:id="14"/>
    <w:p w14:paraId="3B199062">
      <w:pPr>
        <w:pStyle w:val="3"/>
      </w:pPr>
      <w:r>
        <w:rPr>
          <w:rFonts w:hint="eastAsia"/>
        </w:rPr>
        <w:t>基本规定</w:t>
      </w:r>
    </w:p>
    <w:p w14:paraId="7091D262">
      <w:pPr>
        <w:keepNext/>
        <w:keepLines/>
        <w:numPr>
          <w:ilvl w:val="2"/>
          <w:numId w:val="1"/>
        </w:numPr>
        <w:ind w:left="0" w:firstLine="0" w:firstLineChars="0"/>
        <w:outlineLvl w:val="2"/>
        <w:rPr>
          <w:rFonts w:cs="宋体" w:asciiTheme="minorEastAsia" w:hAnsiTheme="minorEastAsia" w:eastAsiaTheme="minorEastAsia"/>
          <w:kern w:val="0"/>
          <w:szCs w:val="20"/>
        </w:rPr>
      </w:pPr>
      <w:bookmarkStart w:id="15" w:name="_Toc18557"/>
      <w:bookmarkStart w:id="16" w:name="_Toc118747169"/>
      <w:bookmarkStart w:id="17" w:name="_Hlk135667441"/>
      <w:r>
        <w:rPr>
          <w:rFonts w:hint="eastAsia" w:cs="宋体" w:asciiTheme="minorEastAsia" w:hAnsiTheme="minorEastAsia" w:eastAsiaTheme="minorEastAsia"/>
          <w:kern w:val="0"/>
          <w:szCs w:val="20"/>
        </w:rPr>
        <w:t>旋流淋洗修复工程应配备废水、废气、固体废物和噪声等二次污染控制设施。并应符合下列规定：</w:t>
      </w:r>
    </w:p>
    <w:p w14:paraId="520A1C0A">
      <w:pPr>
        <w:pStyle w:val="36"/>
        <w:rPr>
          <w:lang w:val="en-US"/>
        </w:rPr>
      </w:pPr>
      <w:r>
        <w:rPr>
          <w:rFonts w:hint="eastAsia"/>
          <w:lang w:val="en-US"/>
        </w:rPr>
        <w:t>（1）废水排放应</w:t>
      </w:r>
      <w:bookmarkStart w:id="18" w:name="_Hlk198790078"/>
      <w:r>
        <w:rPr>
          <w:rFonts w:hint="eastAsia"/>
          <w:lang w:val="en-US"/>
        </w:rPr>
        <w:t>符合</w:t>
      </w:r>
      <w:bookmarkEnd w:id="18"/>
      <w:r>
        <w:rPr>
          <w:lang w:val="en-US"/>
        </w:rPr>
        <w:t>GB 8978</w:t>
      </w:r>
      <w:bookmarkStart w:id="19" w:name="_Hlk198790107"/>
      <w:r>
        <w:rPr>
          <w:rFonts w:hint="eastAsia"/>
          <w:lang w:val="en-US"/>
        </w:rPr>
        <w:t>和地方污染物排放标准</w:t>
      </w:r>
      <w:bookmarkEnd w:id="19"/>
      <w:r>
        <w:rPr>
          <w:rFonts w:hint="eastAsia"/>
          <w:lang w:val="en-US"/>
        </w:rPr>
        <w:t>的规定；</w:t>
      </w:r>
    </w:p>
    <w:p w14:paraId="68E27B6E">
      <w:pPr>
        <w:pStyle w:val="36"/>
        <w:rPr>
          <w:lang w:val="en-US"/>
        </w:rPr>
      </w:pPr>
      <w:r>
        <w:rPr>
          <w:rFonts w:hint="eastAsia"/>
          <w:lang w:val="en-US"/>
        </w:rPr>
        <w:t>（2）废气排放应符合</w:t>
      </w:r>
      <w:r>
        <w:rPr>
          <w:lang w:val="en-US"/>
        </w:rPr>
        <w:t>GB 16297</w:t>
      </w:r>
      <w:r>
        <w:rPr>
          <w:rFonts w:hint="eastAsia"/>
          <w:lang w:val="en-US"/>
        </w:rPr>
        <w:t>和地方污染物排放标准的规定</w:t>
      </w:r>
      <w:r>
        <w:rPr>
          <w:lang w:val="en-US"/>
        </w:rPr>
        <w:t>；</w:t>
      </w:r>
    </w:p>
    <w:p w14:paraId="53A615F5">
      <w:pPr>
        <w:pStyle w:val="36"/>
        <w:rPr>
          <w:lang w:val="en-US"/>
        </w:rPr>
      </w:pPr>
      <w:r>
        <w:rPr>
          <w:rFonts w:hint="eastAsia"/>
          <w:lang w:val="en-US"/>
        </w:rPr>
        <w:t>（3）</w:t>
      </w:r>
      <w:r>
        <w:rPr>
          <w:lang w:val="en-US"/>
        </w:rPr>
        <w:t>危险废物</w:t>
      </w:r>
      <w:r>
        <w:rPr>
          <w:rFonts w:hint="eastAsia"/>
          <w:lang w:val="en-US"/>
        </w:rPr>
        <w:t>处理</w:t>
      </w:r>
      <w:r>
        <w:rPr>
          <w:lang w:val="en-US"/>
        </w:rPr>
        <w:t>应</w:t>
      </w:r>
      <w:r>
        <w:rPr>
          <w:rFonts w:hint="eastAsia"/>
          <w:lang w:val="en-US"/>
        </w:rPr>
        <w:t>符合</w:t>
      </w:r>
      <w:r>
        <w:rPr>
          <w:lang w:val="en-US"/>
        </w:rPr>
        <w:t>GB18597</w:t>
      </w:r>
      <w:r>
        <w:rPr>
          <w:rFonts w:hint="eastAsia"/>
          <w:lang w:val="en-US"/>
        </w:rPr>
        <w:t>的规定</w:t>
      </w:r>
      <w:r>
        <w:rPr>
          <w:lang w:val="en-US"/>
        </w:rPr>
        <w:t>；</w:t>
      </w:r>
    </w:p>
    <w:p w14:paraId="25A54088">
      <w:pPr>
        <w:pStyle w:val="36"/>
        <w:rPr>
          <w:lang w:val="en-US"/>
        </w:rPr>
      </w:pPr>
      <w:r>
        <w:rPr>
          <w:rFonts w:hint="eastAsia"/>
          <w:lang w:val="en-US"/>
        </w:rPr>
        <w:t>（4）</w:t>
      </w:r>
      <w:r>
        <w:rPr>
          <w:lang w:val="en-US"/>
        </w:rPr>
        <w:t>噪声</w:t>
      </w:r>
      <w:r>
        <w:rPr>
          <w:rFonts w:hint="eastAsia"/>
          <w:lang w:val="en-US"/>
        </w:rPr>
        <w:t>控制</w:t>
      </w:r>
      <w:r>
        <w:rPr>
          <w:lang w:val="en-US"/>
        </w:rPr>
        <w:t>应</w:t>
      </w:r>
      <w:r>
        <w:rPr>
          <w:rFonts w:hint="eastAsia"/>
          <w:lang w:val="en-US"/>
        </w:rPr>
        <w:t>符合</w:t>
      </w:r>
      <w:r>
        <w:rPr>
          <w:lang w:val="en-US"/>
        </w:rPr>
        <w:t>GB 12</w:t>
      </w:r>
      <w:bookmarkStart w:id="20" w:name="_Hlk198790092"/>
      <w:r>
        <w:rPr>
          <w:rFonts w:hint="eastAsia"/>
          <w:lang w:val="en-US"/>
        </w:rPr>
        <w:t>348的规定</w:t>
      </w:r>
      <w:bookmarkEnd w:id="20"/>
      <w:r>
        <w:rPr>
          <w:lang w:val="en-US"/>
        </w:rPr>
        <w:t>。</w:t>
      </w:r>
    </w:p>
    <w:p w14:paraId="4AFFCEF5">
      <w:pPr>
        <w:pStyle w:val="36"/>
        <w:ind w:left="0" w:leftChars="0" w:firstLine="422"/>
      </w:pPr>
      <w:r>
        <w:rPr>
          <w:rFonts w:hint="eastAsia"/>
          <w:b/>
          <w:bCs/>
        </w:rPr>
        <w:t>说明：</w:t>
      </w:r>
      <w:r>
        <w:rPr>
          <w:rFonts w:hint="eastAsia"/>
        </w:rPr>
        <w:t>旋流淋洗技术在修复重金属污染土壤过程中，可能产生：含重金属、化学药剂淋洗废液；挥发性有机物（</w:t>
      </w:r>
      <w:r>
        <w:t>VOCs</w:t>
      </w:r>
      <w:r>
        <w:rPr>
          <w:rFonts w:hint="eastAsia"/>
        </w:rPr>
        <w:t>）、粉尘；淋洗后残渣、废滤料等可能属危险废物；旋流分离器、泵等设备运行噪声。因此废水、废气、危险废物及噪声应满足相关标准，废水排放应满足GB 8978和地方污染物排放标准；废气排放应满足GB 16297；危险废物处理应满足</w:t>
      </w:r>
      <w:r>
        <w:t>GB18597</w:t>
      </w:r>
      <w:r>
        <w:rPr>
          <w:rFonts w:hint="eastAsia"/>
        </w:rPr>
        <w:t>；噪声控制应满足</w:t>
      </w:r>
      <w:r>
        <w:t>GB 12348</w:t>
      </w:r>
      <w:r>
        <w:rPr>
          <w:rFonts w:hint="eastAsia"/>
        </w:rPr>
        <w:t>。</w:t>
      </w:r>
    </w:p>
    <w:p w14:paraId="5D702A00">
      <w:pPr>
        <w:keepNext/>
        <w:keepLines/>
        <w:numPr>
          <w:ilvl w:val="2"/>
          <w:numId w:val="1"/>
        </w:numPr>
        <w:ind w:left="0" w:firstLine="0" w:firstLineChars="0"/>
        <w:outlineLvl w:val="2"/>
        <w:rPr>
          <w:rFonts w:eastAsiaTheme="minorEastAsia"/>
          <w:bCs/>
          <w:szCs w:val="32"/>
        </w:rPr>
      </w:pPr>
      <w:r>
        <w:rPr>
          <w:rFonts w:eastAsiaTheme="minorEastAsia"/>
          <w:bCs/>
          <w:szCs w:val="32"/>
        </w:rPr>
        <w:t>淋洗修复后的土壤目标污染物含量应根据土壤类型和用途而定，并应符合GB 36600或GB 15618的规定。</w:t>
      </w:r>
      <w:bookmarkStart w:id="21" w:name="_Hlk135667478"/>
    </w:p>
    <w:p w14:paraId="382EE4F3">
      <w:pPr>
        <w:ind w:firstLine="422"/>
      </w:pPr>
      <w:r>
        <w:rPr>
          <w:rFonts w:hint="eastAsia"/>
          <w:b/>
          <w:bCs/>
        </w:rPr>
        <w:t>说明：</w:t>
      </w:r>
      <w:r>
        <w:t>GB 36600《土壤环境质量 建设用地土壤污染风险管控标准》适用于城市建设用地（如居住、商业、工业用地），GB 15618《土壤环境质量 农用地土壤污染风险管控标准》适用于耕地、林地、草地等农用地，这两个标准基本包含修复后土壤的用途。</w:t>
      </w:r>
    </w:p>
    <w:p w14:paraId="33081758">
      <w:pPr>
        <w:keepNext/>
        <w:keepLines/>
        <w:numPr>
          <w:ilvl w:val="2"/>
          <w:numId w:val="1"/>
        </w:numPr>
        <w:ind w:left="0" w:firstLine="0" w:firstLineChars="0"/>
        <w:outlineLvl w:val="2"/>
        <w:rPr>
          <w:rFonts w:asciiTheme="minorEastAsia" w:hAnsiTheme="minorEastAsia" w:eastAsiaTheme="minorEastAsia"/>
          <w:bCs/>
          <w:kern w:val="0"/>
          <w:szCs w:val="20"/>
        </w:rPr>
      </w:pPr>
      <w:r>
        <w:rPr>
          <w:rFonts w:hint="eastAsia" w:cs="宋体" w:asciiTheme="minorEastAsia" w:hAnsiTheme="minorEastAsia" w:eastAsiaTheme="minorEastAsia"/>
          <w:bCs/>
          <w:kern w:val="0"/>
          <w:szCs w:val="20"/>
        </w:rPr>
        <w:t>修复工程方案设计时，应按土壤污染特征、土壤理化性质、能源供给条件、周边环境敏感点、修复目标、修复周期等因素确定。</w:t>
      </w:r>
      <w:bookmarkEnd w:id="21"/>
    </w:p>
    <w:p w14:paraId="24FD4598">
      <w:pPr>
        <w:ind w:firstLine="422"/>
      </w:pPr>
      <w:r>
        <w:rPr>
          <w:rFonts w:hint="eastAsia"/>
          <w:b/>
          <w:bCs/>
        </w:rPr>
        <w:t>说明：</w:t>
      </w:r>
      <w:r>
        <w:t>HJ 25.4</w:t>
      </w:r>
      <w:r>
        <w:rPr>
          <w:rFonts w:hint="eastAsia"/>
        </w:rPr>
        <w:t>明确规定修复方案需基于场地调查数据，综合考虑污染物分布、水文地质等特征。</w:t>
      </w:r>
    </w:p>
    <w:p w14:paraId="01EBCD06">
      <w:pPr>
        <w:keepNext/>
        <w:keepLines/>
        <w:numPr>
          <w:ilvl w:val="1"/>
          <w:numId w:val="1"/>
        </w:numPr>
        <w:ind w:left="0" w:firstLine="0" w:firstLineChars="0"/>
        <w:outlineLvl w:val="1"/>
        <w:rPr>
          <w:rFonts w:ascii="黑体" w:hAnsi="黑体" w:eastAsia="黑体" w:cstheme="majorBidi"/>
          <w:bCs/>
          <w:szCs w:val="32"/>
        </w:rPr>
      </w:pPr>
      <w:r>
        <w:rPr>
          <w:rFonts w:ascii="黑体" w:hAnsi="黑体" w:eastAsia="黑体" w:cstheme="majorBidi"/>
          <w:bCs/>
          <w:szCs w:val="32"/>
        </w:rPr>
        <w:t>工艺设计及设备要求</w:t>
      </w:r>
    </w:p>
    <w:p w14:paraId="4E2513C7">
      <w:pPr>
        <w:pStyle w:val="4"/>
      </w:pPr>
      <w:r>
        <w:rPr>
          <w:rFonts w:hint="eastAsia"/>
        </w:rPr>
        <w:t>一般规定</w:t>
      </w:r>
    </w:p>
    <w:p w14:paraId="7F74A6C3">
      <w:pPr>
        <w:keepNext/>
        <w:keepLines/>
        <w:numPr>
          <w:ilvl w:val="3"/>
          <w:numId w:val="1"/>
        </w:numPr>
        <w:ind w:left="0" w:firstLine="0" w:firstLineChars="0"/>
        <w:outlineLvl w:val="3"/>
      </w:pPr>
      <w:r>
        <w:rPr>
          <w:rFonts w:hint="eastAsia"/>
        </w:rPr>
        <w:t>修复工程应开展小试和中试实验，确定淋洗液的配置和用量，优化系统运行参数</w:t>
      </w:r>
      <w:r>
        <w:rPr>
          <w:rFonts w:hint="eastAsia" w:cs="宋体"/>
          <w:szCs w:val="21"/>
          <w:lang w:val="zh-CN" w:bidi="ar"/>
        </w:rPr>
        <w:t>。</w:t>
      </w:r>
    </w:p>
    <w:p w14:paraId="63C439C4">
      <w:pPr>
        <w:pStyle w:val="36"/>
        <w:ind w:left="0" w:leftChars="0" w:firstLine="0" w:firstLineChars="0"/>
      </w:pPr>
      <w:r>
        <w:rPr>
          <w:rFonts w:hint="eastAsia"/>
        </w:rPr>
        <w:t xml:space="preserve">    </w:t>
      </w:r>
      <w:r>
        <w:rPr>
          <w:rFonts w:hint="eastAsia"/>
          <w:b/>
          <w:bCs/>
        </w:rPr>
        <w:t>说明：</w:t>
      </w:r>
      <w:r>
        <w:rPr>
          <w:rFonts w:hint="eastAsia"/>
        </w:rPr>
        <w:t>污染土壤修复工程开展小试和中试实验是确保技术可行性的关键环节，其必要性主要体现在：通过小试实验验证淋洗剂对目标污染物（如Pb、Cd）的去除效率，并优化操作参数，为后续工程实施提供数据支撑。</w:t>
      </w:r>
    </w:p>
    <w:p w14:paraId="392E8625">
      <w:pPr>
        <w:keepNext/>
        <w:keepLines/>
        <w:numPr>
          <w:ilvl w:val="3"/>
          <w:numId w:val="1"/>
        </w:numPr>
        <w:ind w:left="0" w:firstLine="0" w:firstLineChars="0"/>
        <w:outlineLvl w:val="3"/>
        <w:rPr>
          <w:rFonts w:eastAsiaTheme="majorEastAsia" w:cstheme="majorBidi"/>
          <w:bCs/>
          <w:szCs w:val="28"/>
        </w:rPr>
      </w:pPr>
      <w:r>
        <w:rPr>
          <w:rFonts w:hint="eastAsia" w:eastAsiaTheme="majorEastAsia" w:cstheme="majorBidi"/>
          <w:bCs/>
          <w:szCs w:val="28"/>
        </w:rPr>
        <w:t>淋洗设备前设置预处理单元，用于筛分去除土壤中粒径大于30mm的杂物。</w:t>
      </w:r>
    </w:p>
    <w:p w14:paraId="7F78CA70">
      <w:pPr>
        <w:ind w:firstLine="422"/>
        <w:rPr>
          <w:rFonts w:ascii="宋体" w:hAnsi="宋体" w:cs="宋体"/>
        </w:rPr>
      </w:pPr>
      <w:r>
        <w:rPr>
          <w:rFonts w:hint="eastAsia"/>
          <w:b/>
          <w:bCs/>
        </w:rPr>
        <w:t>说明：</w:t>
      </w:r>
      <w:r>
        <w:t>《</w:t>
      </w:r>
      <w:r>
        <w:rPr>
          <w:rFonts w:hint="eastAsia"/>
        </w:rPr>
        <w:t>建设用地土壤修复技术导则</w:t>
      </w:r>
      <w:r>
        <w:t>》（HJ 25.4）建议</w:t>
      </w:r>
      <w:r>
        <w:rPr>
          <w:rFonts w:hint="eastAsia"/>
        </w:rPr>
        <w:t>通过</w:t>
      </w:r>
      <w:r>
        <w:t>预处理去除“影响设备运行的杂物”</w:t>
      </w:r>
      <w:r>
        <w:rPr>
          <w:rFonts w:hint="eastAsia"/>
        </w:rPr>
        <w:t>，在本技术规范中，设置</w:t>
      </w:r>
      <w:r>
        <w:rPr>
          <w:rFonts w:hint="eastAsia" w:ascii="宋体" w:hAnsi="宋体" w:cs="宋体"/>
        </w:rPr>
        <w:t>预处理单元（筛分去除</w:t>
      </w:r>
      <w:r>
        <w:t>&gt;30mm</w:t>
      </w:r>
      <w:r>
        <w:rPr>
          <w:rFonts w:hint="eastAsia"/>
        </w:rPr>
        <w:t>杂物）</w:t>
      </w:r>
      <w:r>
        <w:rPr>
          <w:rFonts w:hint="eastAsia" w:ascii="宋体" w:hAnsi="宋体" w:cs="宋体"/>
        </w:rPr>
        <w:t>是确保后续设备稳定运行的关键环节，主要作用包括：</w:t>
      </w:r>
      <w:r>
        <w:rPr>
          <w:rFonts w:hint="eastAsia"/>
        </w:rPr>
        <w:t>保护设备，防止大块杂物（如石块、建筑垃圾）损坏破碎机、旋流分离器等精密设备；提高效率，减少无效处理量，降低能耗与运行成本。欧美淋洗工程案例中普遍采用25-50mm筛分阈值，考虑到筛分效率，选择30mm作为预处理筛分阈值。</w:t>
      </w:r>
    </w:p>
    <w:p w14:paraId="48DD044B">
      <w:pPr>
        <w:keepNext/>
        <w:keepLines/>
        <w:numPr>
          <w:ilvl w:val="3"/>
          <w:numId w:val="1"/>
        </w:numPr>
        <w:ind w:left="0" w:firstLine="0" w:firstLineChars="0"/>
        <w:outlineLvl w:val="3"/>
      </w:pPr>
      <w:r>
        <w:rPr>
          <w:rFonts w:hint="eastAsia" w:eastAsiaTheme="majorEastAsia" w:cstheme="majorBidi"/>
          <w:bCs/>
          <w:szCs w:val="28"/>
        </w:rPr>
        <w:t>淋洗设备应包括进料单元、筛分制浆单元、旋流分级与淋洗单元、液固分离单元</w:t>
      </w:r>
      <w:r>
        <w:rPr>
          <w:rFonts w:hint="eastAsia"/>
        </w:rPr>
        <w:t>。</w:t>
      </w:r>
    </w:p>
    <w:p w14:paraId="662CBD32">
      <w:pPr>
        <w:ind w:firstLine="422"/>
      </w:pPr>
      <w:r>
        <w:rPr>
          <w:rFonts w:hint="eastAsia"/>
          <w:b/>
          <w:bCs/>
        </w:rPr>
        <w:t>说明：</w:t>
      </w:r>
      <w:r>
        <w:rPr>
          <w:rFonts w:hint="eastAsia"/>
        </w:rPr>
        <w:t>本标准规定的淋洗修复系统主要由四大功能单元组成：进料单元负责土壤的定量输送与均匀给料，筛分制浆单元负责配制浆料；旋流分级与淋洗单元利用水力旋流器实现粗、细颗粒分离，强化淋洗效果；液固分离单元采用板框压滤机进行泥水分离。该系统各单元协同运作，形成完整的淋洗修复工艺流程，满足HJ 25.4等技术规范对污染土壤修复工程的要求。</w:t>
      </w:r>
    </w:p>
    <w:p w14:paraId="3C01B5BB">
      <w:pPr>
        <w:keepNext/>
        <w:keepLines/>
        <w:numPr>
          <w:ilvl w:val="3"/>
          <w:numId w:val="1"/>
        </w:numPr>
        <w:ind w:left="0" w:firstLine="0" w:firstLineChars="0"/>
        <w:outlineLvl w:val="3"/>
        <w:rPr>
          <w:rFonts w:ascii="宋体" w:hAnsi="宋体"/>
        </w:rPr>
      </w:pPr>
      <w:bookmarkStart w:id="22" w:name="_Hlk203984153"/>
      <w:r>
        <w:rPr>
          <w:rFonts w:hint="eastAsia" w:ascii="宋体" w:hAnsi="宋体"/>
        </w:rPr>
        <w:t>重金属土壤污染修复可配备多类增效模块（如加热、化学氧化、气浮等增效模块）。</w:t>
      </w:r>
      <w:bookmarkEnd w:id="22"/>
      <w:r>
        <w:rPr>
          <w:rFonts w:hint="eastAsia" w:ascii="宋体" w:hAnsi="宋体"/>
        </w:rPr>
        <w:t>增效模块宜设置在进料单元与旋流分级及淋洗单元之间，可适用于下列土壤污染修复：</w:t>
      </w:r>
    </w:p>
    <w:p w14:paraId="28A5A3C6">
      <w:pPr>
        <w:ind w:firstLine="420"/>
        <w:rPr>
          <w:rFonts w:ascii="宋体" w:hAnsi="宋体"/>
        </w:rPr>
      </w:pPr>
      <w:r>
        <w:rPr>
          <w:rFonts w:hint="eastAsia" w:ascii="宋体" w:hAnsi="宋体"/>
        </w:rPr>
        <w:t>（1）加热可适用于汞土壤污染修复；</w:t>
      </w:r>
    </w:p>
    <w:p w14:paraId="7588986D">
      <w:pPr>
        <w:ind w:firstLine="420"/>
        <w:rPr>
          <w:rFonts w:ascii="宋体" w:hAnsi="宋体"/>
        </w:rPr>
      </w:pPr>
      <w:r>
        <w:rPr>
          <w:rFonts w:hint="eastAsia" w:ascii="宋体" w:hAnsi="宋体"/>
        </w:rPr>
        <w:t>（2）化学氧化可适用于有机质含量高的土壤污染修复；</w:t>
      </w:r>
    </w:p>
    <w:p w14:paraId="426770F0">
      <w:pPr>
        <w:ind w:firstLine="420"/>
        <w:rPr>
          <w:rFonts w:ascii="宋体" w:hAnsi="宋体"/>
        </w:rPr>
      </w:pPr>
      <w:r>
        <w:rPr>
          <w:rFonts w:hint="eastAsia" w:ascii="宋体" w:hAnsi="宋体"/>
        </w:rPr>
        <w:t>（3）气浮可适用于含石油烃污染的复合土壤污染修复。</w:t>
      </w:r>
    </w:p>
    <w:p w14:paraId="0EF44AC0">
      <w:pPr>
        <w:spacing w:after="120"/>
        <w:ind w:firstLine="422"/>
        <w:rPr>
          <w:rFonts w:cs="宋体"/>
          <w:szCs w:val="21"/>
          <w:lang w:val="zh-CN"/>
        </w:rPr>
      </w:pPr>
      <w:r>
        <w:rPr>
          <w:rFonts w:hint="eastAsia" w:cs="宋体"/>
          <w:b/>
          <w:bCs/>
          <w:szCs w:val="21"/>
          <w:lang w:val="zh-CN"/>
        </w:rPr>
        <w:t>说明：</w:t>
      </w:r>
      <w:r>
        <w:rPr>
          <w:rFonts w:hint="eastAsia" w:cs="宋体"/>
          <w:szCs w:val="21"/>
        </w:rPr>
        <w:t>重金属土壤污染修复可配备多类增效模块（如加热、化学氧化、气浮等增效模块）以适配复合重金属污染土壤的修复要求。</w:t>
      </w:r>
    </w:p>
    <w:p w14:paraId="3BD34CC6">
      <w:pPr>
        <w:keepNext/>
        <w:keepLines/>
        <w:numPr>
          <w:ilvl w:val="3"/>
          <w:numId w:val="1"/>
        </w:numPr>
        <w:ind w:left="0" w:firstLine="0" w:firstLineChars="0"/>
        <w:outlineLvl w:val="3"/>
      </w:pPr>
      <w:r>
        <w:rPr>
          <w:rFonts w:hint="eastAsia"/>
        </w:rPr>
        <w:t>旋流淋洗技术修复工程设计应满足绿色节能设计要求。</w:t>
      </w:r>
    </w:p>
    <w:p w14:paraId="5103ED41">
      <w:pPr>
        <w:pStyle w:val="36"/>
        <w:ind w:left="0" w:leftChars="0" w:firstLine="422"/>
      </w:pPr>
      <w:r>
        <w:rPr>
          <w:rFonts w:hint="eastAsia"/>
          <w:b/>
          <w:bCs/>
        </w:rPr>
        <w:t>说明：</w:t>
      </w:r>
      <w:r>
        <w:rPr>
          <w:rFonts w:hint="eastAsia"/>
        </w:rPr>
        <w:t>工程设计应符合HJ 25.4中关于节能减排的相关要求，确保单位处理能耗不超过行业平均水平，实现环境效益与经济效益的统一。</w:t>
      </w:r>
    </w:p>
    <w:p w14:paraId="2B62DB4D">
      <w:pPr>
        <w:pStyle w:val="4"/>
      </w:pPr>
      <w:r>
        <w:rPr>
          <w:rFonts w:hint="eastAsia"/>
        </w:rPr>
        <w:t>重金属污染土壤异位旋流淋洗工艺路线</w:t>
      </w:r>
    </w:p>
    <w:p w14:paraId="1E140ACF">
      <w:pPr>
        <w:ind w:firstLine="480"/>
        <w:rPr>
          <w:sz w:val="24"/>
        </w:rPr>
      </w:pPr>
      <w:r>
        <w:rPr>
          <w:rFonts w:hint="eastAsia" w:ascii="宋体" w:hAnsi="宋体"/>
          <w:sz w:val="24"/>
        </w:rPr>
        <w:t>污染土壤经预处理、制浆、振动筛分后进入旋流淋洗工艺段，如图</w:t>
      </w:r>
      <w:r>
        <w:rPr>
          <w:rFonts w:hint="eastAsia"/>
          <w:sz w:val="24"/>
        </w:rPr>
        <w:t>1</w:t>
      </w:r>
      <w:r>
        <w:rPr>
          <w:rFonts w:hint="eastAsia" w:ascii="宋体" w:hAnsi="宋体"/>
          <w:sz w:val="24"/>
        </w:rPr>
        <w:t>。</w:t>
      </w:r>
    </w:p>
    <w:p w14:paraId="3032702E">
      <w:pPr>
        <w:ind w:firstLine="420"/>
        <w:rPr>
          <w:sz w:val="24"/>
        </w:rPr>
      </w:pPr>
      <w:r>
        <w:rPr>
          <w:rFonts w:ascii="Calibri" w:hAnsi="Calibri"/>
          <w:kern w:val="0"/>
          <w:szCs w:val="20"/>
        </w:rPr>
        <w:drawing>
          <wp:inline distT="0" distB="0" distL="114300" distR="114300">
            <wp:extent cx="5274310" cy="2439035"/>
            <wp:effectExtent l="0" t="0" r="0" b="0"/>
            <wp:docPr id="3" name="ECB019B1-382A-4266-B25C-5B523AA43C14-6"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CB019B1-382A-4266-B25C-5B523AA43C14-6" descr="wps"/>
                    <pic:cNvPicPr>
                      <a:picLocks noChangeAspect="1"/>
                    </pic:cNvPicPr>
                  </pic:nvPicPr>
                  <pic:blipFill>
                    <a:blip r:embed="rId12"/>
                    <a:stretch>
                      <a:fillRect/>
                    </a:stretch>
                  </pic:blipFill>
                  <pic:spPr>
                    <a:xfrm>
                      <a:off x="0" y="0"/>
                      <a:ext cx="5274310" cy="2439472"/>
                    </a:xfrm>
                    <a:prstGeom prst="rect">
                      <a:avLst/>
                    </a:prstGeom>
                  </pic:spPr>
                </pic:pic>
              </a:graphicData>
            </a:graphic>
          </wp:inline>
        </w:drawing>
      </w:r>
    </w:p>
    <w:p w14:paraId="01EF65EB">
      <w:pPr>
        <w:spacing w:before="120" w:after="120" w:line="312" w:lineRule="exact"/>
        <w:ind w:firstLine="0" w:firstLineChars="0"/>
        <w:jc w:val="center"/>
        <w:rPr>
          <w:rFonts w:ascii="黑体" w:hAnsi="黑体" w:eastAsia="黑体" w:cs="宋体"/>
          <w:kern w:val="21"/>
          <w:szCs w:val="21"/>
        </w:rPr>
      </w:pPr>
      <w:r>
        <w:rPr>
          <w:rFonts w:hint="eastAsia" w:ascii="黑体" w:hAnsi="黑体" w:eastAsia="黑体" w:cs="宋体"/>
          <w:kern w:val="21"/>
          <w:szCs w:val="21"/>
        </w:rPr>
        <w:t>图</w:t>
      </w:r>
      <w:r>
        <w:rPr>
          <w:rFonts w:hint="eastAsia" w:ascii="E-F1" w:eastAsia="黑体" w:cs="宋体"/>
          <w:kern w:val="21"/>
          <w:szCs w:val="21"/>
        </w:rPr>
        <w:t>1</w:t>
      </w:r>
      <w:r>
        <w:rPr>
          <w:rFonts w:hint="eastAsia" w:ascii="黑体" w:hAnsi="黑体" w:eastAsia="黑体" w:cs="宋体"/>
          <w:kern w:val="21"/>
          <w:szCs w:val="21"/>
        </w:rPr>
        <w:t>污染土壤旋流淋洗技术工艺流程图</w:t>
      </w:r>
    </w:p>
    <w:p w14:paraId="460FA50C">
      <w:pPr>
        <w:ind w:firstLine="422"/>
      </w:pPr>
      <w:r>
        <w:rPr>
          <w:rFonts w:hint="eastAsia"/>
          <w:b/>
          <w:bCs/>
        </w:rPr>
        <w:t>说明：</w:t>
      </w:r>
      <w:r>
        <w:rPr>
          <w:rFonts w:hint="eastAsia"/>
        </w:rPr>
        <w:t>振动筛分后的土壤经旋流分级，分成重金属含量达标土壤和重金属含量超标土壤，达标土壤主要为粗颗粒，经板框压滤得到洁净土；超标土壤主要为细颗粒，细颗粒进入泥浆池并添加淋洗药剂，进行后续旋流淋洗，经旋流淋洗后的浆料含水量大，经旋流分离的作用进行提浓，提浓后经板框压滤得到洁净土。板框压滤的滤液通过污水处理系统净化后可回用土壤制浆。</w:t>
      </w:r>
    </w:p>
    <w:p w14:paraId="1F022DEB">
      <w:pPr>
        <w:pStyle w:val="4"/>
      </w:pPr>
      <w:r>
        <w:rPr>
          <w:rFonts w:hint="eastAsia"/>
        </w:rPr>
        <w:t>污染土壤旋流淋洗技术工艺单元设计</w:t>
      </w:r>
    </w:p>
    <w:p w14:paraId="04D579A9">
      <w:pPr>
        <w:keepNext/>
        <w:keepLines/>
        <w:numPr>
          <w:ilvl w:val="3"/>
          <w:numId w:val="1"/>
        </w:numPr>
        <w:ind w:left="0" w:firstLine="0" w:firstLineChars="0"/>
        <w:outlineLvl w:val="3"/>
        <w:rPr>
          <w:rFonts w:eastAsiaTheme="majorEastAsia" w:cstheme="majorBidi"/>
          <w:bCs/>
          <w:szCs w:val="28"/>
        </w:rPr>
      </w:pPr>
      <w:r>
        <w:rPr>
          <w:rFonts w:hint="eastAsia" w:eastAsiaTheme="majorEastAsia" w:cstheme="majorBidi"/>
          <w:bCs/>
          <w:szCs w:val="28"/>
        </w:rPr>
        <w:t>一般规定</w:t>
      </w:r>
    </w:p>
    <w:p w14:paraId="7F377DDA">
      <w:pPr>
        <w:ind w:firstLine="420"/>
      </w:pPr>
      <w:r>
        <w:rPr>
          <w:rFonts w:hint="eastAsia"/>
        </w:rPr>
        <w:t>（1）工艺设备应根据工程项目修复需求确定，宜采用撬装式异位淋洗设备，并根据场地面积选择单层或双层搭设。</w:t>
      </w:r>
    </w:p>
    <w:p w14:paraId="0EE40770">
      <w:pPr>
        <w:ind w:firstLine="420"/>
      </w:pPr>
      <w:r>
        <w:rPr>
          <w:rFonts w:hint="eastAsia"/>
        </w:rPr>
        <w:t>（2）设备应易于操作和维护，方便操作和调整，同时应降低故障率和维护成本。</w:t>
      </w:r>
    </w:p>
    <w:p w14:paraId="5CFE1540">
      <w:pPr>
        <w:ind w:firstLine="420"/>
      </w:pPr>
      <w:r>
        <w:rPr>
          <w:rFonts w:hint="eastAsia"/>
        </w:rPr>
        <w:t>（3）旋流器的加工制造应符合JB/T 9035或HG/T 4380的规定。</w:t>
      </w:r>
    </w:p>
    <w:p w14:paraId="1A820F9E">
      <w:pPr>
        <w:ind w:firstLine="420"/>
      </w:pPr>
      <w:r>
        <w:rPr>
          <w:rFonts w:hint="eastAsia"/>
        </w:rPr>
        <w:t>（4）对于多级串联旋流器，应使各级旋流器之间匹配和协调。</w:t>
      </w:r>
    </w:p>
    <w:p w14:paraId="6BB5EC69">
      <w:pPr>
        <w:ind w:firstLine="420"/>
      </w:pPr>
      <w:r>
        <w:rPr>
          <w:rFonts w:hint="eastAsia"/>
        </w:rPr>
        <w:t>（5）设备材质应能承受工作过程中的压力和温度，并且具有良好的耐腐蚀性，处理能力应满足生产需求。</w:t>
      </w:r>
    </w:p>
    <w:p w14:paraId="2FC6AD09">
      <w:pPr>
        <w:keepNext/>
        <w:keepLines/>
        <w:numPr>
          <w:ilvl w:val="3"/>
          <w:numId w:val="1"/>
        </w:numPr>
        <w:ind w:left="0" w:firstLine="0" w:firstLineChars="0"/>
        <w:outlineLvl w:val="3"/>
        <w:rPr>
          <w:rFonts w:eastAsiaTheme="majorEastAsia" w:cstheme="majorBidi"/>
          <w:bCs/>
          <w:szCs w:val="28"/>
        </w:rPr>
      </w:pPr>
      <w:r>
        <w:rPr>
          <w:rFonts w:hint="eastAsia" w:eastAsiaTheme="majorEastAsia" w:cstheme="majorBidi"/>
          <w:bCs/>
          <w:szCs w:val="28"/>
        </w:rPr>
        <w:t>旋流分级单元</w:t>
      </w:r>
    </w:p>
    <w:p w14:paraId="23282218">
      <w:pPr>
        <w:pStyle w:val="36"/>
        <w:ind w:left="0" w:leftChars="0"/>
        <w:rPr>
          <w:lang w:val="en-US"/>
        </w:rPr>
      </w:pPr>
      <w:r>
        <w:rPr>
          <w:rFonts w:hint="eastAsia"/>
          <w:lang w:val="en-US"/>
        </w:rPr>
        <w:t>（1）设备选型：旋流分级单元宜包括多个旋流分级器、脱水筛；</w:t>
      </w:r>
    </w:p>
    <w:p w14:paraId="55B0B302">
      <w:pPr>
        <w:pStyle w:val="36"/>
        <w:ind w:firstLine="0" w:firstLineChars="0"/>
        <w:rPr>
          <w:lang w:val="en-US"/>
        </w:rPr>
      </w:pPr>
      <w:r>
        <w:rPr>
          <w:rFonts w:hint="eastAsia"/>
          <w:lang w:val="en-US"/>
        </w:rPr>
        <w:t>（2）操作参数：旋流分级器用于对粗细颗粒土壤进行分级，同时对预处理筛分后的泥浆进行增效洗脱，结构设计及分级节点可根据待处理污染土壤的粒径分布特点而定。处理能力一般为70-400 m</w:t>
      </w:r>
      <w:r>
        <w:rPr>
          <w:vertAlign w:val="superscript"/>
          <w:lang w:val="en-US"/>
        </w:rPr>
        <w:t>3</w:t>
      </w:r>
      <w:r>
        <w:rPr>
          <w:rFonts w:hint="eastAsia"/>
          <w:lang w:val="en-US"/>
        </w:rPr>
        <w:t>/h，</w:t>
      </w:r>
      <w:r>
        <w:rPr>
          <w:lang w:val="en-US"/>
        </w:rPr>
        <w:t>进料浓度一般为5%-25%wt</w:t>
      </w:r>
      <w:r>
        <w:rPr>
          <w:rFonts w:hint="eastAsia"/>
          <w:lang w:val="en-US"/>
        </w:rPr>
        <w:t>，进料压力一般为0.04-0.35 MPa。</w:t>
      </w:r>
    </w:p>
    <w:p w14:paraId="76D027B8">
      <w:pPr>
        <w:pStyle w:val="36"/>
        <w:ind w:firstLine="0" w:firstLineChars="0"/>
        <w:rPr>
          <w:lang w:val="en-US"/>
        </w:rPr>
      </w:pPr>
      <w:r>
        <w:rPr>
          <w:rFonts w:hint="eastAsia"/>
          <w:lang w:val="en-US"/>
        </w:rPr>
        <w:t>（3）作业工序：筛分后的泥浆混合液进入旋流分级器，经过多级旋流分级淋洗，底流大粒径土壤颗粒进入脱水筛，脱水出料，溢流小粒径土壤颗粒进入旋流淋洗单元经多级旋流淋洗强化洗脱效果。</w:t>
      </w:r>
    </w:p>
    <w:p w14:paraId="63EFA114">
      <w:pPr>
        <w:pStyle w:val="36"/>
        <w:ind w:firstLine="422"/>
        <w:rPr>
          <w:lang w:val="en-US"/>
        </w:rPr>
      </w:pPr>
      <w:r>
        <w:rPr>
          <w:rFonts w:hint="eastAsia"/>
          <w:b/>
          <w:bCs/>
          <w:lang w:val="en-US"/>
        </w:rPr>
        <w:t>说明：</w:t>
      </w:r>
      <w:r>
        <w:rPr>
          <w:rFonts w:hint="eastAsia"/>
          <w:lang w:val="en-US"/>
        </w:rPr>
        <w:t>依据HG/T 4380《液－固微旋流分离器技术条件》和JB/T 9035《水力旋流器》，旋流分级器的处理能力一般为70-400 m</w:t>
      </w:r>
      <w:r>
        <w:rPr>
          <w:rFonts w:hint="eastAsia"/>
          <w:vertAlign w:val="superscript"/>
          <w:lang w:val="en-US"/>
        </w:rPr>
        <w:t>3</w:t>
      </w:r>
      <w:r>
        <w:rPr>
          <w:rFonts w:hint="eastAsia"/>
          <w:lang w:val="en-US"/>
        </w:rPr>
        <w:t>/h，进料浓度一般为5%-25%wt，进料压力一般为0.04-0.35 MPa。</w:t>
      </w:r>
    </w:p>
    <w:p w14:paraId="0DB00C1A">
      <w:pPr>
        <w:keepNext/>
        <w:keepLines/>
        <w:numPr>
          <w:ilvl w:val="3"/>
          <w:numId w:val="1"/>
        </w:numPr>
        <w:ind w:left="0" w:firstLine="0" w:firstLineChars="0"/>
        <w:outlineLvl w:val="3"/>
        <w:rPr>
          <w:rFonts w:eastAsiaTheme="majorEastAsia" w:cstheme="majorBidi"/>
          <w:bCs/>
          <w:szCs w:val="28"/>
        </w:rPr>
      </w:pPr>
      <w:r>
        <w:rPr>
          <w:rFonts w:hint="eastAsia" w:eastAsiaTheme="majorEastAsia" w:cstheme="majorBidi"/>
          <w:bCs/>
          <w:szCs w:val="28"/>
        </w:rPr>
        <w:t>旋流淋洗单元</w:t>
      </w:r>
    </w:p>
    <w:p w14:paraId="7EBE58BF">
      <w:pPr>
        <w:ind w:firstLine="420"/>
      </w:pPr>
      <w:r>
        <w:rPr>
          <w:rFonts w:hint="eastAsia"/>
        </w:rPr>
        <w:t>（1）设备选型：泥浆淋洗单元宜包括多个泥浆槽、旋流淋洗器。</w:t>
      </w:r>
    </w:p>
    <w:p w14:paraId="675F92CB">
      <w:pPr>
        <w:ind w:firstLine="420"/>
      </w:pPr>
      <w:r>
        <w:rPr>
          <w:rFonts w:hint="eastAsia"/>
        </w:rPr>
        <w:t>（2）操作参数：针对旋流分级器溢流颗粒重金属含量特点设置淋洗仓，确定淋洗剂种类和用量。搅拌槽转速不低于50 r/min，停留时间不低于15 min。</w:t>
      </w:r>
    </w:p>
    <w:p w14:paraId="0A83D897">
      <w:pPr>
        <w:ind w:firstLine="420"/>
      </w:pPr>
      <w:r>
        <w:rPr>
          <w:rFonts w:hint="eastAsia"/>
        </w:rPr>
        <w:t>（3）淋洗剂：可选用单一淋洗剂或复配淋洗剂。复配淋洗剂可由有机酸、螯合剂或表面活性剂组成。淋洗剂浓度一般为0.01-0.2 mol/L。</w:t>
      </w:r>
    </w:p>
    <w:p w14:paraId="2A208677">
      <w:pPr>
        <w:ind w:firstLine="420"/>
      </w:pPr>
      <w:r>
        <w:rPr>
          <w:rFonts w:hint="eastAsia"/>
        </w:rPr>
        <w:t>（4）作业工序：旋流分级后的细颗粒土壤浆液进入淋洗仓内的旋流淋洗器进行淋洗，经过多级旋流淋洗，底流大粒径土壤颗粒进入旋流分离单元进行旋流提浓，溢流小粒径土壤颗粒返回泥浆池重新进行旋流淋洗。</w:t>
      </w:r>
    </w:p>
    <w:p w14:paraId="53407EFB">
      <w:pPr>
        <w:ind w:firstLine="422"/>
      </w:pPr>
      <w:r>
        <w:rPr>
          <w:rFonts w:hint="eastAsia"/>
          <w:b/>
          <w:bCs/>
        </w:rPr>
        <w:t>说明：</w:t>
      </w:r>
      <w:r>
        <w:rPr>
          <w:rFonts w:hint="eastAsia"/>
        </w:rPr>
        <w:t>实际淋洗修复工程中，一般配备搅拌槽，考虑到修复成本，搅拌槽转速不宜过低，淋洗剂浓度一般不超过0.2mol/L。</w:t>
      </w:r>
    </w:p>
    <w:p w14:paraId="5BE75041">
      <w:pPr>
        <w:keepNext/>
        <w:keepLines/>
        <w:numPr>
          <w:ilvl w:val="3"/>
          <w:numId w:val="1"/>
        </w:numPr>
        <w:ind w:left="0" w:firstLine="0" w:firstLineChars="0"/>
        <w:outlineLvl w:val="3"/>
        <w:rPr>
          <w:rFonts w:eastAsiaTheme="majorEastAsia" w:cstheme="majorBidi"/>
          <w:bCs/>
          <w:szCs w:val="28"/>
        </w:rPr>
      </w:pPr>
      <w:r>
        <w:rPr>
          <w:rFonts w:hint="eastAsia" w:eastAsiaTheme="majorEastAsia" w:cstheme="majorBidi"/>
          <w:bCs/>
          <w:szCs w:val="28"/>
        </w:rPr>
        <w:t>旋流分离单元</w:t>
      </w:r>
    </w:p>
    <w:p w14:paraId="67493306">
      <w:pPr>
        <w:ind w:firstLine="420"/>
      </w:pPr>
      <w:r>
        <w:rPr>
          <w:rFonts w:hint="eastAsia"/>
        </w:rPr>
        <w:t>（1）设备选型：旋流分离单元宜选用多个微旋流分离芯管组成的旋流分离器。</w:t>
      </w:r>
    </w:p>
    <w:p w14:paraId="7E3765D0">
      <w:pPr>
        <w:ind w:firstLine="420"/>
      </w:pPr>
      <w:r>
        <w:rPr>
          <w:rFonts w:hint="eastAsia"/>
        </w:rPr>
        <w:t>（2）操作参数：旋流分离器用于初步提浓淋洗后的泥浆，结构设计可根据待处理污染土壤的粒径分布特点而定。处理能力一般为70-400 m</w:t>
      </w:r>
      <w:r>
        <w:rPr>
          <w:rFonts w:hint="eastAsia"/>
          <w:vertAlign w:val="superscript"/>
        </w:rPr>
        <w:t>3</w:t>
      </w:r>
      <w:r>
        <w:rPr>
          <w:rFonts w:hint="eastAsia"/>
        </w:rPr>
        <w:t>/h，进料浓度一般为5%-25%wt，进料压力一般为0.1-0.35 MPa。</w:t>
      </w:r>
    </w:p>
    <w:p w14:paraId="7F18D47F">
      <w:pPr>
        <w:ind w:firstLine="420"/>
      </w:pPr>
      <w:r>
        <w:rPr>
          <w:rFonts w:hint="eastAsia"/>
        </w:rPr>
        <w:t>（3）作业工序：淋洗后的泥浆进入旋流分离器进行初步提浓，溢流清水回流至淋洗仓，提浓后的土壤进入板框压滤机脱水，脱水后的污泥运至指定场地堆置。</w:t>
      </w:r>
    </w:p>
    <w:p w14:paraId="1C5482E2">
      <w:pPr>
        <w:ind w:firstLine="422"/>
      </w:pPr>
      <w:r>
        <w:rPr>
          <w:rFonts w:hint="eastAsia"/>
          <w:b/>
          <w:bCs/>
        </w:rPr>
        <w:t>说明：</w:t>
      </w:r>
      <w:r>
        <w:rPr>
          <w:rFonts w:hint="eastAsia"/>
        </w:rPr>
        <w:t>依据HG/T 4380《液－固微旋流分离器技术条件》和JB/T 9035 《水力旋流器》，旋流分离器的处理能力一般为70-400 m</w:t>
      </w:r>
      <w:r>
        <w:rPr>
          <w:rFonts w:hint="eastAsia"/>
          <w:vertAlign w:val="superscript"/>
        </w:rPr>
        <w:t>3</w:t>
      </w:r>
      <w:r>
        <w:rPr>
          <w:rFonts w:hint="eastAsia"/>
        </w:rPr>
        <w:t>/h，进料浓度一般为5%-25%wt，进料压力一般为</w:t>
      </w:r>
      <w:r>
        <w:t>0.1</w:t>
      </w:r>
      <w:r>
        <w:rPr>
          <w:rFonts w:hint="eastAsia"/>
        </w:rPr>
        <w:t>-0.35 MPa。</w:t>
      </w:r>
    </w:p>
    <w:p w14:paraId="7003847B">
      <w:pPr>
        <w:pStyle w:val="3"/>
      </w:pPr>
      <w:r>
        <w:rPr>
          <w:rFonts w:hint="eastAsia"/>
        </w:rPr>
        <w:t>检测与过程控制</w:t>
      </w:r>
    </w:p>
    <w:p w14:paraId="18C55AB8">
      <w:pPr>
        <w:pStyle w:val="4"/>
      </w:pPr>
      <w:r>
        <w:rPr>
          <w:rFonts w:hint="eastAsia"/>
        </w:rPr>
        <w:t>检测和监测</w:t>
      </w:r>
    </w:p>
    <w:p w14:paraId="65D618D6">
      <w:pPr>
        <w:keepNext/>
        <w:keepLines/>
        <w:numPr>
          <w:ilvl w:val="3"/>
          <w:numId w:val="1"/>
        </w:numPr>
        <w:ind w:left="0" w:firstLine="0" w:firstLineChars="0"/>
        <w:outlineLvl w:val="3"/>
      </w:pPr>
      <w:r>
        <w:rPr>
          <w:rFonts w:hint="eastAsia"/>
        </w:rPr>
        <w:t>对淋洗修复后的污染土壤进行采样和实验室分析，样品采集和实验室检测可按照</w:t>
      </w:r>
    </w:p>
    <w:p w14:paraId="5A765938">
      <w:pPr>
        <w:pStyle w:val="36"/>
        <w:ind w:left="0" w:leftChars="0" w:firstLine="0" w:firstLineChars="0"/>
      </w:pPr>
      <w:r>
        <w:rPr>
          <w:rFonts w:hint="eastAsia"/>
        </w:rPr>
        <w:t>HJ25.2、HJ 25.4、和HJ 25.5执行。</w:t>
      </w:r>
    </w:p>
    <w:p w14:paraId="4D0321E4">
      <w:pPr>
        <w:pStyle w:val="36"/>
        <w:ind w:left="0" w:leftChars="0" w:firstLine="422"/>
      </w:pPr>
      <w:r>
        <w:rPr>
          <w:rFonts w:hint="eastAsia"/>
          <w:b/>
          <w:bCs/>
        </w:rPr>
        <w:t>说明：</w:t>
      </w:r>
      <w:r>
        <w:rPr>
          <w:rFonts w:hint="eastAsia"/>
        </w:rPr>
        <w:t>HJ 25.2《建设用地土壤污染风险管控和修复监测技术导则》对采样点位布设（如网格法、分区法）、采样深度、样品保存等提出严格要求，避免因采样误差导致修复效果误判；HJ 25.4《建设用地土壤修复技术导则》规定了污染场地土壤修复的基本程序和技术要求，包括采样、检测和修复效果评估；</w:t>
      </w:r>
      <w:r>
        <w:t>HJ 25.5</w:t>
      </w:r>
      <w:r>
        <w:rPr>
          <w:rFonts w:hint="eastAsia"/>
        </w:rPr>
        <w:t>《污染地块风险管控与土壤修复效果评估技术导则》规定了修复后土壤的采样、检测及验收要求。</w:t>
      </w:r>
    </w:p>
    <w:p w14:paraId="23F787D7">
      <w:pPr>
        <w:keepNext/>
        <w:keepLines/>
        <w:numPr>
          <w:ilvl w:val="3"/>
          <w:numId w:val="1"/>
        </w:numPr>
        <w:ind w:left="0" w:firstLine="0" w:firstLineChars="0"/>
        <w:outlineLvl w:val="3"/>
      </w:pPr>
      <w:r>
        <w:rPr>
          <w:rFonts w:hint="eastAsia"/>
        </w:rPr>
        <w:t>设备运行过程中工艺参数监测内容包括：</w:t>
      </w:r>
    </w:p>
    <w:p w14:paraId="11976375">
      <w:pPr>
        <w:pStyle w:val="36"/>
      </w:pPr>
      <w:r>
        <w:rPr>
          <w:rFonts w:hint="eastAsia"/>
        </w:rPr>
        <w:t>（1）污染土壤进料速率；</w:t>
      </w:r>
    </w:p>
    <w:p w14:paraId="77CF3500">
      <w:pPr>
        <w:pStyle w:val="36"/>
      </w:pPr>
      <w:r>
        <w:rPr>
          <w:rFonts w:hint="eastAsia"/>
        </w:rPr>
        <w:t>（2）淋洗药剂浓度及使用量；</w:t>
      </w:r>
    </w:p>
    <w:p w14:paraId="6331355D">
      <w:pPr>
        <w:pStyle w:val="36"/>
      </w:pPr>
      <w:r>
        <w:rPr>
          <w:rFonts w:hint="eastAsia"/>
        </w:rPr>
        <w:t>（3）土壤浆料停留时间；</w:t>
      </w:r>
    </w:p>
    <w:p w14:paraId="71D90E11">
      <w:pPr>
        <w:pStyle w:val="36"/>
      </w:pPr>
      <w:r>
        <w:rPr>
          <w:rFonts w:hint="eastAsia"/>
        </w:rPr>
        <w:t>（4）旋流器压降、进口流量；</w:t>
      </w:r>
    </w:p>
    <w:p w14:paraId="7D5B056A">
      <w:pPr>
        <w:pStyle w:val="36"/>
      </w:pPr>
      <w:r>
        <w:rPr>
          <w:rFonts w:hint="eastAsia"/>
        </w:rPr>
        <w:t>（5）筛分出料粒径及出料量。</w:t>
      </w:r>
    </w:p>
    <w:p w14:paraId="7D2DC5AD">
      <w:pPr>
        <w:pStyle w:val="36"/>
        <w:ind w:firstLine="422"/>
      </w:pPr>
      <w:r>
        <w:rPr>
          <w:rFonts w:hint="eastAsia"/>
          <w:b/>
          <w:bCs/>
        </w:rPr>
        <w:t>说明：</w:t>
      </w:r>
      <w:r>
        <w:rPr>
          <w:rFonts w:hint="eastAsia"/>
        </w:rPr>
        <w:t>在污染土壤淋洗修复过程中，实时监测关键工艺参数是确保系统稳定运行、优化修复效果、降低运行成本的重要措施。以下参数：污染土壤进料速率，淋洗药剂浓度及使用量，土壤浆料停留时间，旋流器压降、进口流量，筛分出料粒径及出料量对系统稳定运行和修复效果具有重要影响，因此需进行监测。</w:t>
      </w:r>
    </w:p>
    <w:bookmarkEnd w:id="15"/>
    <w:bookmarkEnd w:id="16"/>
    <w:bookmarkEnd w:id="17"/>
    <w:p w14:paraId="6DCB64F6">
      <w:pPr>
        <w:pStyle w:val="4"/>
      </w:pPr>
      <w:r>
        <w:rPr>
          <w:rFonts w:hint="eastAsia"/>
        </w:rPr>
        <w:t>监测仪表</w:t>
      </w:r>
    </w:p>
    <w:p w14:paraId="2EE69166">
      <w:pPr>
        <w:keepNext/>
        <w:keepLines/>
        <w:numPr>
          <w:ilvl w:val="3"/>
          <w:numId w:val="1"/>
        </w:numPr>
        <w:ind w:left="0" w:firstLine="0" w:firstLineChars="0"/>
        <w:outlineLvl w:val="3"/>
      </w:pPr>
      <w:r>
        <w:rPr>
          <w:rFonts w:hint="eastAsia"/>
        </w:rPr>
        <w:t>各单元应配置运行控制所需的监测仪表，实时在线监测运行工况。</w:t>
      </w:r>
    </w:p>
    <w:p w14:paraId="65E5E0DE">
      <w:pPr>
        <w:keepNext/>
        <w:keepLines/>
        <w:numPr>
          <w:ilvl w:val="3"/>
          <w:numId w:val="1"/>
        </w:numPr>
        <w:ind w:left="0" w:firstLine="0" w:firstLineChars="0"/>
        <w:outlineLvl w:val="3"/>
      </w:pPr>
      <w:r>
        <w:rPr>
          <w:rFonts w:hint="eastAsia"/>
        </w:rPr>
        <w:t>根据设计及过程参数采用药剂计量泵、电磁流量计等设备调控设备运行状态。</w:t>
      </w:r>
    </w:p>
    <w:p w14:paraId="2DE8F3C9">
      <w:pPr>
        <w:pStyle w:val="3"/>
      </w:pPr>
      <w:r>
        <w:rPr>
          <w:rFonts w:hint="eastAsia"/>
        </w:rPr>
        <w:t>施工与验收</w:t>
      </w:r>
    </w:p>
    <w:p w14:paraId="5E64328F">
      <w:pPr>
        <w:pStyle w:val="4"/>
      </w:pPr>
      <w:r>
        <w:rPr>
          <w:rFonts w:hint="eastAsia"/>
        </w:rPr>
        <w:t>一般规定</w:t>
      </w:r>
    </w:p>
    <w:p w14:paraId="44F480D9">
      <w:pPr>
        <w:keepNext/>
        <w:keepLines/>
        <w:numPr>
          <w:ilvl w:val="3"/>
          <w:numId w:val="1"/>
        </w:numPr>
        <w:ind w:left="0" w:firstLine="0" w:firstLineChars="0"/>
        <w:outlineLvl w:val="3"/>
      </w:pPr>
      <w:r>
        <w:rPr>
          <w:rFonts w:hint="eastAsia"/>
        </w:rPr>
        <w:t>施工前应由设计单位制定修复方案，修复方案应包括工程概况、地块特征、污染特征及风险控制、地块修复模式、修复技术比选、修复方案设计、环境管理计划、成本效益分析、进度安排及场地平面布置。变更方案应经设计单位同意。</w:t>
      </w:r>
    </w:p>
    <w:p w14:paraId="72FFEA0F">
      <w:pPr>
        <w:keepNext/>
        <w:keepLines/>
        <w:numPr>
          <w:ilvl w:val="3"/>
          <w:numId w:val="1"/>
        </w:numPr>
        <w:ind w:left="0" w:firstLine="0" w:firstLineChars="0"/>
        <w:outlineLvl w:val="3"/>
      </w:pPr>
      <w:r>
        <w:rPr>
          <w:rFonts w:hint="eastAsia"/>
        </w:rPr>
        <w:t>施工应制定施工组织方案。施工组织方案应包括工程概况、技术方法、施工部署、施工计划、环境保护措施及施工总平面布置图。</w:t>
      </w:r>
    </w:p>
    <w:p w14:paraId="33721EE8">
      <w:pPr>
        <w:pStyle w:val="36"/>
        <w:ind w:left="0" w:leftChars="0" w:firstLine="0" w:firstLineChars="0"/>
        <w:rPr>
          <w:lang w:val="en-US"/>
        </w:rPr>
      </w:pPr>
      <w:r>
        <w:rPr>
          <w:rFonts w:hint="eastAsia"/>
        </w:rPr>
        <w:t xml:space="preserve">    </w:t>
      </w:r>
      <w:r>
        <w:rPr>
          <w:rFonts w:hint="eastAsia"/>
          <w:b/>
          <w:bCs/>
        </w:rPr>
        <w:t>说明：</w:t>
      </w:r>
      <w:r>
        <w:rPr>
          <w:rFonts w:hint="eastAsia"/>
        </w:rPr>
        <w:t>HJ 25.5要求施工前编制实施方案，明确工艺流程和环境保护措施。</w:t>
      </w:r>
    </w:p>
    <w:p w14:paraId="5EC32A7F">
      <w:pPr>
        <w:pStyle w:val="4"/>
      </w:pPr>
      <w:r>
        <w:rPr>
          <w:rFonts w:hint="eastAsia"/>
        </w:rPr>
        <w:t>设备安装</w:t>
      </w:r>
    </w:p>
    <w:p w14:paraId="00423D75">
      <w:pPr>
        <w:keepNext/>
        <w:keepLines/>
        <w:numPr>
          <w:ilvl w:val="3"/>
          <w:numId w:val="1"/>
        </w:numPr>
        <w:ind w:left="0" w:firstLine="0" w:firstLineChars="0"/>
        <w:outlineLvl w:val="3"/>
      </w:pPr>
      <w:r>
        <w:rPr>
          <w:rFonts w:hint="eastAsia"/>
        </w:rPr>
        <w:t>设备安装应符合以下规定：</w:t>
      </w:r>
    </w:p>
    <w:p w14:paraId="083C5386">
      <w:pPr>
        <w:ind w:firstLine="420"/>
      </w:pPr>
      <w:r>
        <w:rPr>
          <w:rFonts w:hint="eastAsia"/>
        </w:rPr>
        <w:t>（1）风机、压缩机、泵的安装应符合GB 50275的规定；</w:t>
      </w:r>
    </w:p>
    <w:p w14:paraId="0D5D00FE">
      <w:pPr>
        <w:ind w:firstLine="420"/>
      </w:pPr>
      <w:r>
        <w:rPr>
          <w:rFonts w:hint="eastAsia"/>
        </w:rPr>
        <w:t>（2）设备、设施和管件的施工应符合GB 50727、GB 20801.4的规定。</w:t>
      </w:r>
    </w:p>
    <w:p w14:paraId="2EF3E403">
      <w:pPr>
        <w:ind w:firstLine="422"/>
      </w:pPr>
      <w:r>
        <w:rPr>
          <w:rFonts w:hint="eastAsia"/>
          <w:b/>
          <w:bCs/>
        </w:rPr>
        <w:t>说明：</w:t>
      </w:r>
      <w:r>
        <w:t>GB 50275</w:t>
      </w:r>
      <w:r>
        <w:rPr>
          <w:rFonts w:hint="eastAsia"/>
        </w:rPr>
        <w:t>《风机、压缩机、泵安装工程施工及验收规范》规定了动力设备的安装技术要求、调试方法和验收标准。旋流淋洗系统接触腐蚀性介质（如酸/碱药剂、重金属废水），防腐措施直接影响设备寿命，因此须符合GB 50727《工业设备及管道防腐蚀工程施工质量验收规范》和</w:t>
      </w:r>
      <w:r>
        <w:t>GB 20801</w:t>
      </w:r>
      <w:r>
        <w:rPr>
          <w:rFonts w:hint="eastAsia"/>
        </w:rPr>
        <w:t>《压力管道规范 工业管道》</w:t>
      </w:r>
    </w:p>
    <w:p w14:paraId="43FBD2CD">
      <w:pPr>
        <w:pStyle w:val="4"/>
      </w:pPr>
      <w:r>
        <w:rPr>
          <w:rFonts w:hint="eastAsia"/>
        </w:rPr>
        <w:t>设备调试</w:t>
      </w:r>
    </w:p>
    <w:p w14:paraId="2ED2D874">
      <w:pPr>
        <w:keepNext/>
        <w:keepLines/>
        <w:numPr>
          <w:ilvl w:val="3"/>
          <w:numId w:val="1"/>
        </w:numPr>
        <w:ind w:left="0" w:firstLine="0" w:firstLineChars="0"/>
        <w:outlineLvl w:val="3"/>
      </w:pPr>
      <w:r>
        <w:rPr>
          <w:rFonts w:hint="eastAsia"/>
        </w:rPr>
        <w:t>设备运行前，应对下列设备和管道检查和调试：</w:t>
      </w:r>
    </w:p>
    <w:p w14:paraId="69C6B15B">
      <w:pPr>
        <w:ind w:firstLine="420"/>
      </w:pPr>
      <w:r>
        <w:rPr>
          <w:rFonts w:hint="eastAsia"/>
        </w:rPr>
        <w:t>（1）管路设备连接；</w:t>
      </w:r>
    </w:p>
    <w:p w14:paraId="068EDA63">
      <w:pPr>
        <w:ind w:firstLine="420"/>
      </w:pPr>
      <w:r>
        <w:rPr>
          <w:rFonts w:hint="eastAsia"/>
        </w:rPr>
        <w:t>（2）电气仪表及控制系统；</w:t>
      </w:r>
    </w:p>
    <w:p w14:paraId="4B6E2EF3">
      <w:pPr>
        <w:ind w:firstLine="420"/>
      </w:pPr>
      <w:r>
        <w:rPr>
          <w:rFonts w:hint="eastAsia"/>
        </w:rPr>
        <w:t>（3）配电设备；</w:t>
      </w:r>
    </w:p>
    <w:p w14:paraId="315CB1C7">
      <w:pPr>
        <w:ind w:firstLine="420"/>
      </w:pPr>
      <w:r>
        <w:rPr>
          <w:rFonts w:hint="eastAsia"/>
        </w:rPr>
        <w:t>（4）设备外观完好无损，铭牌、设备牌、标识牌齐全。</w:t>
      </w:r>
    </w:p>
    <w:p w14:paraId="71879D34">
      <w:pPr>
        <w:ind w:firstLine="420"/>
      </w:pPr>
      <w:r>
        <w:rPr>
          <w:rFonts w:hint="eastAsia"/>
        </w:rPr>
        <w:t>（5）设备试运行，在确认启动正常后，进行5-10 min试运转，确认以下内容：</w:t>
      </w:r>
    </w:p>
    <w:p w14:paraId="7AA6BC0A">
      <w:pPr>
        <w:ind w:firstLine="420"/>
      </w:pPr>
      <w:r>
        <w:rPr>
          <w:rFonts w:hint="eastAsia"/>
        </w:rPr>
        <w:t>设备本体无跑、冒、滴、漏、喷等情况；</w:t>
      </w:r>
    </w:p>
    <w:p w14:paraId="6988B80D">
      <w:pPr>
        <w:ind w:firstLine="420"/>
      </w:pPr>
      <w:r>
        <w:rPr>
          <w:rFonts w:hint="eastAsia"/>
        </w:rPr>
        <w:t>进料系统无阻塞卡顿情况；</w:t>
      </w:r>
    </w:p>
    <w:p w14:paraId="3D09C4A2">
      <w:pPr>
        <w:ind w:firstLine="420"/>
      </w:pPr>
      <w:r>
        <w:rPr>
          <w:rFonts w:hint="eastAsia"/>
        </w:rPr>
        <w:t>粒径分离运转正常，无异声及剧烈振动；</w:t>
      </w:r>
    </w:p>
    <w:p w14:paraId="3AC942A2">
      <w:pPr>
        <w:ind w:firstLine="420"/>
      </w:pPr>
      <w:r>
        <w:rPr>
          <w:rFonts w:hint="eastAsia"/>
        </w:rPr>
        <w:t>旋流器无溢流跑粗、底流夹细现象，流量和压力正常；</w:t>
      </w:r>
    </w:p>
    <w:p w14:paraId="560E1B24">
      <w:pPr>
        <w:ind w:firstLine="420"/>
      </w:pPr>
      <w:r>
        <w:rPr>
          <w:rFonts w:hint="eastAsia"/>
        </w:rPr>
        <w:t>药剂泵运转正常，入口压力在正常范围内，出药流量稳定，无堵塞现象，流动性好；</w:t>
      </w:r>
    </w:p>
    <w:p w14:paraId="76340932">
      <w:pPr>
        <w:ind w:firstLine="420"/>
      </w:pPr>
      <w:r>
        <w:rPr>
          <w:rFonts w:hint="eastAsia"/>
        </w:rPr>
        <w:t>固液分离运行正常连续；</w:t>
      </w:r>
    </w:p>
    <w:p w14:paraId="4FD472BA">
      <w:pPr>
        <w:ind w:firstLine="420"/>
      </w:pPr>
      <w:r>
        <w:rPr>
          <w:rFonts w:hint="eastAsia"/>
        </w:rPr>
        <w:t>水处理设备运行正常连续，无漏水现象，无异常噪声。</w:t>
      </w:r>
    </w:p>
    <w:p w14:paraId="04A142AF">
      <w:pPr>
        <w:ind w:firstLine="422"/>
      </w:pPr>
      <w:r>
        <w:rPr>
          <w:rFonts w:hint="eastAsia"/>
          <w:b/>
          <w:bCs/>
        </w:rPr>
        <w:t>说明：</w:t>
      </w:r>
      <w:r>
        <w:rPr>
          <w:rFonts w:hint="eastAsia"/>
        </w:rPr>
        <w:t>设备运行前，需检测和调试管路设备连接、电气仪表及控制系统、配电设备以保证设备正常运行。</w:t>
      </w:r>
    </w:p>
    <w:p w14:paraId="4C1CE068">
      <w:pPr>
        <w:keepNext/>
        <w:keepLines/>
        <w:numPr>
          <w:ilvl w:val="3"/>
          <w:numId w:val="1"/>
        </w:numPr>
        <w:ind w:left="0" w:firstLine="0" w:firstLineChars="0"/>
        <w:outlineLvl w:val="3"/>
      </w:pPr>
      <w:r>
        <w:rPr>
          <w:rFonts w:hint="eastAsia"/>
        </w:rPr>
        <w:t>调试期间应进行设备性能试验，内容包括：</w:t>
      </w:r>
    </w:p>
    <w:p w14:paraId="56F12A1F">
      <w:pPr>
        <w:ind w:firstLine="420"/>
      </w:pPr>
      <w:r>
        <w:rPr>
          <w:rFonts w:hint="eastAsia"/>
        </w:rPr>
        <w:t>（1）旋流器最大工作流量；</w:t>
      </w:r>
    </w:p>
    <w:p w14:paraId="7CE9DB3F">
      <w:pPr>
        <w:ind w:firstLine="420"/>
      </w:pPr>
      <w:r>
        <w:rPr>
          <w:rFonts w:hint="eastAsia"/>
        </w:rPr>
        <w:t>（2）土壤粒径分级效率；</w:t>
      </w:r>
    </w:p>
    <w:p w14:paraId="328D06FC">
      <w:pPr>
        <w:ind w:firstLine="420"/>
      </w:pPr>
      <w:r>
        <w:rPr>
          <w:rFonts w:hint="eastAsia"/>
        </w:rPr>
        <w:t>（3）土壤淋洗效率；</w:t>
      </w:r>
    </w:p>
    <w:p w14:paraId="6751B834">
      <w:pPr>
        <w:ind w:firstLine="420"/>
      </w:pPr>
      <w:r>
        <w:rPr>
          <w:rFonts w:hint="eastAsia"/>
        </w:rPr>
        <w:t>（4）淋洗剂最佳用量及液固比；</w:t>
      </w:r>
    </w:p>
    <w:p w14:paraId="451487BE">
      <w:pPr>
        <w:ind w:firstLine="420"/>
      </w:pPr>
      <w:r>
        <w:rPr>
          <w:rFonts w:hint="eastAsia"/>
        </w:rPr>
        <w:t>（5）废水系统处理效率；</w:t>
      </w:r>
    </w:p>
    <w:p w14:paraId="244B3B8E">
      <w:pPr>
        <w:ind w:firstLine="420"/>
      </w:pPr>
      <w:r>
        <w:rPr>
          <w:rFonts w:hint="eastAsia"/>
        </w:rPr>
        <w:t>（6）药剂利用率及废水损失率。</w:t>
      </w:r>
    </w:p>
    <w:p w14:paraId="50DF166E">
      <w:pPr>
        <w:ind w:firstLine="422"/>
      </w:pPr>
      <w:r>
        <w:rPr>
          <w:rFonts w:hint="eastAsia"/>
          <w:b/>
          <w:bCs/>
        </w:rPr>
        <w:t>说明：</w:t>
      </w:r>
      <w:r>
        <w:rPr>
          <w:rFonts w:hint="eastAsia"/>
        </w:rPr>
        <w:t>旋流器最大工作流量、土壤粒径分级效率</w:t>
      </w:r>
      <w:r>
        <w:t>……</w:t>
      </w:r>
      <w:r>
        <w:rPr>
          <w:rFonts w:hint="eastAsia"/>
        </w:rPr>
        <w:t>等是修复工程现场实施的重要性能参数，因此在调试期间应对以上内容进行性能试验。</w:t>
      </w:r>
    </w:p>
    <w:p w14:paraId="1189E987">
      <w:pPr>
        <w:pStyle w:val="4"/>
      </w:pPr>
      <w:r>
        <w:rPr>
          <w:rFonts w:hint="eastAsia"/>
        </w:rPr>
        <w:t>验收</w:t>
      </w:r>
    </w:p>
    <w:p w14:paraId="72D0AC64">
      <w:pPr>
        <w:keepNext/>
        <w:keepLines/>
        <w:numPr>
          <w:ilvl w:val="3"/>
          <w:numId w:val="1"/>
        </w:numPr>
        <w:ind w:left="0" w:firstLine="0" w:firstLineChars="0"/>
        <w:outlineLvl w:val="3"/>
      </w:pPr>
      <w:r>
        <w:rPr>
          <w:rFonts w:hint="eastAsia"/>
        </w:rPr>
        <w:t>土建工程验收应符合GB 50202的规定。</w:t>
      </w:r>
    </w:p>
    <w:p w14:paraId="0CAA61F3">
      <w:pPr>
        <w:ind w:firstLine="422"/>
      </w:pPr>
      <w:r>
        <w:rPr>
          <w:rFonts w:hint="eastAsia"/>
          <w:b/>
          <w:bCs/>
        </w:rPr>
        <w:t>说明：</w:t>
      </w:r>
      <w:r>
        <w:t>GB 50202</w:t>
      </w:r>
      <w:r>
        <w:rPr>
          <w:rFonts w:hint="eastAsia"/>
        </w:rPr>
        <w:t>《建筑地基基础工程施工质量验收规范》是建筑工程领域的强制性国家标准，适用于各类地基、基础及土建工程的施工质量验收。</w:t>
      </w:r>
      <w:r>
        <w:rPr>
          <w:rFonts w:hint="eastAsia" w:ascii="宋体" w:hAnsi="宋体" w:cs="宋体"/>
        </w:rPr>
        <w:t>污染土壤修复工程中的土建部分（如设备基础、废水池、暂存场等）应符合该标准要</w:t>
      </w:r>
      <w:r>
        <w:rPr>
          <w:rFonts w:hint="eastAsia"/>
        </w:rPr>
        <w:t>求。</w:t>
      </w:r>
    </w:p>
    <w:p w14:paraId="4A727C0D">
      <w:pPr>
        <w:keepNext/>
        <w:keepLines/>
        <w:numPr>
          <w:ilvl w:val="3"/>
          <w:numId w:val="1"/>
        </w:numPr>
        <w:ind w:left="0" w:firstLine="0" w:firstLineChars="0"/>
        <w:outlineLvl w:val="3"/>
      </w:pPr>
      <w:r>
        <w:rPr>
          <w:rFonts w:hint="eastAsia"/>
        </w:rPr>
        <w:t>风机、压缩机、泵安装工程验收应符合GB 50275的规定。</w:t>
      </w:r>
    </w:p>
    <w:p w14:paraId="15F25D52">
      <w:pPr>
        <w:ind w:firstLine="422"/>
      </w:pPr>
      <w:r>
        <w:rPr>
          <w:rFonts w:hint="eastAsia"/>
          <w:b/>
          <w:bCs/>
        </w:rPr>
        <w:t>说明：</w:t>
      </w:r>
      <w:r>
        <w:rPr>
          <w:rFonts w:hint="eastAsia"/>
        </w:rPr>
        <w:t>污染土壤修复工程中涉及的各类泵（如泥浆泵、加药泵）、风机（如曝气风机）和压缩机（如气动系统）的安装验收应符合</w:t>
      </w:r>
      <w:r>
        <w:t>GB 50275</w:t>
      </w:r>
      <w:r>
        <w:rPr>
          <w:rFonts w:hint="eastAsia"/>
        </w:rPr>
        <w:t>、</w:t>
      </w:r>
    </w:p>
    <w:p w14:paraId="250DE527">
      <w:pPr>
        <w:keepNext/>
        <w:keepLines/>
        <w:numPr>
          <w:ilvl w:val="3"/>
          <w:numId w:val="1"/>
        </w:numPr>
        <w:ind w:left="0" w:firstLine="0" w:firstLineChars="0"/>
        <w:outlineLvl w:val="3"/>
      </w:pPr>
      <w:r>
        <w:rPr>
          <w:rFonts w:hint="eastAsia"/>
        </w:rPr>
        <w:t>设备、设施和管件的验收应符合GB 50727的规定。</w:t>
      </w:r>
    </w:p>
    <w:p w14:paraId="7666D9F9">
      <w:pPr>
        <w:ind w:firstLine="422"/>
      </w:pPr>
      <w:r>
        <w:rPr>
          <w:rFonts w:hint="eastAsia"/>
          <w:b/>
          <w:bCs/>
        </w:rPr>
        <w:t>说明：</w:t>
      </w:r>
      <w:r>
        <w:rPr>
          <w:rFonts w:hint="eastAsia"/>
        </w:rPr>
        <w:t>污染土壤修复工程中涉及的所有设备（如旋流器、振动筛）、设施（如废水池）和管件（如输送管道）的防腐蚀质量验收应符合</w:t>
      </w:r>
      <w:r>
        <w:t>GB 50727</w:t>
      </w:r>
      <w:r>
        <w:rPr>
          <w:rFonts w:hint="eastAsia"/>
        </w:rPr>
        <w:t>。</w:t>
      </w:r>
    </w:p>
    <w:p w14:paraId="211CC843">
      <w:pPr>
        <w:keepNext/>
        <w:keepLines/>
        <w:numPr>
          <w:ilvl w:val="3"/>
          <w:numId w:val="1"/>
        </w:numPr>
        <w:ind w:left="0" w:firstLine="0" w:firstLineChars="0"/>
        <w:outlineLvl w:val="3"/>
      </w:pPr>
      <w:r>
        <w:rPr>
          <w:rFonts w:hint="eastAsia"/>
        </w:rPr>
        <w:t>土壤修复效果验收应符合HJ 25.5、GB 36600、GB 15816的规定；淋洗废水验收应符合GB 8978的规定。</w:t>
      </w:r>
    </w:p>
    <w:p w14:paraId="6F647883">
      <w:pPr>
        <w:ind w:firstLine="422"/>
      </w:pPr>
      <w:r>
        <w:rPr>
          <w:rFonts w:hint="eastAsia"/>
          <w:b/>
          <w:bCs/>
        </w:rPr>
        <w:t>说明：</w:t>
      </w:r>
      <w:r>
        <w:rPr>
          <w:rFonts w:hint="eastAsia"/>
        </w:rPr>
        <w:t>满足以上验收标准以确保修复效果的可验证性，环境风险的可控性，排放行为的合规性。</w:t>
      </w:r>
    </w:p>
    <w:p w14:paraId="7FBF8129">
      <w:pPr>
        <w:pStyle w:val="3"/>
      </w:pPr>
      <w:r>
        <w:rPr>
          <w:rFonts w:hint="eastAsia"/>
        </w:rPr>
        <w:t>运行与维护</w:t>
      </w:r>
    </w:p>
    <w:p w14:paraId="70CB0D55">
      <w:pPr>
        <w:pStyle w:val="4"/>
      </w:pPr>
      <w:r>
        <w:rPr>
          <w:rFonts w:hint="eastAsia"/>
        </w:rPr>
        <w:t>一般规定</w:t>
      </w:r>
    </w:p>
    <w:p w14:paraId="38CB776E">
      <w:pPr>
        <w:keepNext/>
        <w:keepLines/>
        <w:numPr>
          <w:ilvl w:val="3"/>
          <w:numId w:val="1"/>
        </w:numPr>
        <w:ind w:left="0" w:firstLine="0" w:firstLineChars="0"/>
        <w:outlineLvl w:val="3"/>
      </w:pPr>
      <w:r>
        <w:rPr>
          <w:rFonts w:hint="eastAsia"/>
        </w:rPr>
        <w:t>设备运行过程中，应确保处于设计工况条件下。应根据工艺要求，定期对设备、电气系统、自控仪表等进行全面检查和维护。</w:t>
      </w:r>
    </w:p>
    <w:p w14:paraId="6B14A22F">
      <w:pPr>
        <w:keepNext/>
        <w:keepLines/>
        <w:numPr>
          <w:ilvl w:val="3"/>
          <w:numId w:val="1"/>
        </w:numPr>
        <w:ind w:left="0" w:firstLine="0" w:firstLineChars="0"/>
        <w:outlineLvl w:val="3"/>
      </w:pPr>
      <w:r>
        <w:rPr>
          <w:rFonts w:hint="eastAsia"/>
        </w:rPr>
        <w:t>应建立运行、维护和操作规程等规章制度，设备运行状况台账制度。</w:t>
      </w:r>
    </w:p>
    <w:p w14:paraId="53630EAD">
      <w:pPr>
        <w:ind w:firstLine="422"/>
      </w:pPr>
      <w:r>
        <w:rPr>
          <w:rFonts w:hint="eastAsia"/>
          <w:b/>
          <w:bCs/>
        </w:rPr>
        <w:t>说明：</w:t>
      </w:r>
      <w:r>
        <w:rPr>
          <w:rFonts w:hint="eastAsia"/>
        </w:rPr>
        <w:t>应建立健全运行、维护和操作规程等规章制度，保障污染土壤修复工程顺利进行。同时，建立设备运行状况台账制度，有效监控主要设备运行状态，确保设备正常运行和及时维护。</w:t>
      </w:r>
    </w:p>
    <w:p w14:paraId="12904843">
      <w:pPr>
        <w:pStyle w:val="4"/>
      </w:pPr>
      <w:r>
        <w:rPr>
          <w:rFonts w:hint="eastAsia"/>
        </w:rPr>
        <w:t>运行管理</w:t>
      </w:r>
    </w:p>
    <w:p w14:paraId="4430DC4D">
      <w:pPr>
        <w:keepNext/>
        <w:keepLines/>
        <w:numPr>
          <w:ilvl w:val="3"/>
          <w:numId w:val="1"/>
        </w:numPr>
        <w:ind w:left="0" w:firstLine="0" w:firstLineChars="0"/>
        <w:outlineLvl w:val="3"/>
      </w:pPr>
      <w:r>
        <w:rPr>
          <w:rFonts w:hint="eastAsia"/>
        </w:rPr>
        <w:t>运行管理应定期对运行人员培训，应掌握正常运行操作和应急处理措施。</w:t>
      </w:r>
    </w:p>
    <w:p w14:paraId="21804506">
      <w:pPr>
        <w:keepNext/>
        <w:keepLines/>
        <w:numPr>
          <w:ilvl w:val="3"/>
          <w:numId w:val="1"/>
        </w:numPr>
        <w:ind w:left="0" w:firstLine="0" w:firstLineChars="0"/>
        <w:outlineLvl w:val="3"/>
      </w:pPr>
      <w:r>
        <w:rPr>
          <w:rFonts w:hint="eastAsia"/>
        </w:rPr>
        <w:t>在操作人员正式上岗前，必须完成以下专项培训内容：</w:t>
      </w:r>
    </w:p>
    <w:p w14:paraId="50E4C2DB">
      <w:pPr>
        <w:ind w:firstLine="420"/>
      </w:pPr>
      <w:r>
        <w:rPr>
          <w:rFonts w:hint="eastAsia"/>
        </w:rPr>
        <w:t>（1）启动前的检验与启动条件确认；</w:t>
      </w:r>
    </w:p>
    <w:p w14:paraId="731436EE">
      <w:pPr>
        <w:ind w:firstLine="420"/>
      </w:pPr>
      <w:r>
        <w:rPr>
          <w:rFonts w:hint="eastAsia"/>
        </w:rPr>
        <w:t>（2）设备平稳运行的条件；</w:t>
      </w:r>
    </w:p>
    <w:p w14:paraId="698C2D76">
      <w:pPr>
        <w:ind w:firstLine="420"/>
      </w:pPr>
      <w:r>
        <w:rPr>
          <w:rFonts w:hint="eastAsia"/>
        </w:rPr>
        <w:t>（3）监控、警报及指示系统的使用、检测与必要调整；</w:t>
      </w:r>
    </w:p>
    <w:p w14:paraId="41B90260">
      <w:pPr>
        <w:ind w:firstLine="420"/>
      </w:pPr>
      <w:r>
        <w:rPr>
          <w:rFonts w:hint="eastAsia"/>
        </w:rPr>
        <w:t>（4）优化运行状况、监测污染物处理效能及维持设备稳定运行的方法；</w:t>
      </w:r>
    </w:p>
    <w:p w14:paraId="719CF609">
      <w:pPr>
        <w:ind w:firstLine="420"/>
      </w:pPr>
      <w:r>
        <w:rPr>
          <w:rFonts w:hint="eastAsia"/>
        </w:rPr>
        <w:t>（5）发现、诊断及解决设备运行中的故障；</w:t>
      </w:r>
    </w:p>
    <w:p w14:paraId="2D97BD51">
      <w:pPr>
        <w:ind w:firstLine="420"/>
      </w:pPr>
      <w:r>
        <w:rPr>
          <w:rFonts w:hint="eastAsia"/>
        </w:rPr>
        <w:t>（6）紧急情况应对措施及事故处置流程；</w:t>
      </w:r>
    </w:p>
    <w:p w14:paraId="3146A49E">
      <w:pPr>
        <w:ind w:firstLine="420"/>
      </w:pPr>
      <w:r>
        <w:rPr>
          <w:rFonts w:hint="eastAsia"/>
        </w:rPr>
        <w:t>（7）设备的日常保养与定期检修；</w:t>
      </w:r>
    </w:p>
    <w:p w14:paraId="7E261337">
      <w:pPr>
        <w:ind w:firstLine="420"/>
      </w:pPr>
      <w:r>
        <w:rPr>
          <w:rFonts w:hint="eastAsia"/>
        </w:rPr>
        <w:t>（8）记录设备操作和保养日志，以及其他必要事件的报告和记录。</w:t>
      </w:r>
    </w:p>
    <w:p w14:paraId="15BC32AC">
      <w:pPr>
        <w:keepNext/>
        <w:keepLines/>
        <w:numPr>
          <w:ilvl w:val="3"/>
          <w:numId w:val="1"/>
        </w:numPr>
        <w:ind w:left="0" w:firstLine="0" w:firstLineChars="0"/>
        <w:outlineLvl w:val="3"/>
      </w:pPr>
      <w:r>
        <w:rPr>
          <w:rFonts w:hint="eastAsia"/>
        </w:rPr>
        <w:t>应制定一套完整的记录体系，用于记录污染土壤修复工程的运行状态、设施维护和生产作业等信息，主要记录项目包含：</w:t>
      </w:r>
    </w:p>
    <w:p w14:paraId="6FF0B68A">
      <w:pPr>
        <w:ind w:firstLine="420"/>
      </w:pPr>
      <w:r>
        <w:rPr>
          <w:rFonts w:hint="eastAsia"/>
        </w:rPr>
        <w:t>（1）系统的开启与关闭时间；</w:t>
      </w:r>
    </w:p>
    <w:p w14:paraId="0097C5F8">
      <w:pPr>
        <w:ind w:firstLine="420"/>
      </w:pPr>
      <w:r>
        <w:rPr>
          <w:rFonts w:hint="eastAsia"/>
        </w:rPr>
        <w:t>（2）系统操作中的控制参数；</w:t>
      </w:r>
    </w:p>
    <w:p w14:paraId="59927C0E">
      <w:pPr>
        <w:ind w:firstLine="420"/>
      </w:pPr>
      <w:r>
        <w:rPr>
          <w:rFonts w:hint="eastAsia"/>
        </w:rPr>
        <w:t>（3）关键设备的操作及维护状况；</w:t>
      </w:r>
    </w:p>
    <w:p w14:paraId="63AE116E">
      <w:pPr>
        <w:ind w:firstLine="420"/>
      </w:pPr>
      <w:r>
        <w:rPr>
          <w:rFonts w:hint="eastAsia"/>
        </w:rPr>
        <w:t>（4）化学药品的投加记录；</w:t>
      </w:r>
    </w:p>
    <w:p w14:paraId="27DFA74B">
      <w:pPr>
        <w:ind w:firstLine="420"/>
      </w:pPr>
      <w:r>
        <w:rPr>
          <w:rFonts w:hint="eastAsia"/>
        </w:rPr>
        <w:t>（5）生产过程中事故的记录及处理结果；</w:t>
      </w:r>
    </w:p>
    <w:p w14:paraId="4A21A52A">
      <w:pPr>
        <w:ind w:firstLine="420"/>
      </w:pPr>
      <w:r>
        <w:rPr>
          <w:rFonts w:hint="eastAsia"/>
        </w:rPr>
        <w:t>（6）定期检测、评估和审查的详细记录。</w:t>
      </w:r>
    </w:p>
    <w:p w14:paraId="565A6293">
      <w:pPr>
        <w:ind w:firstLine="422"/>
      </w:pPr>
      <w:r>
        <w:rPr>
          <w:rFonts w:hint="eastAsia"/>
          <w:b/>
          <w:bCs/>
        </w:rPr>
        <w:t>说明：</w:t>
      </w:r>
      <w:r>
        <w:rPr>
          <w:rFonts w:hint="eastAsia"/>
        </w:rPr>
        <w:t>通过制定一套完整的记录体系，</w:t>
      </w:r>
      <w:r>
        <w:t>实现工程可追溯性、保障运行合规性、支撑效果评估</w:t>
      </w:r>
      <w:r>
        <w:rPr>
          <w:rFonts w:hint="eastAsia"/>
        </w:rPr>
        <w:t>，满足工程质量控制、环保监管和后期审计等需求。</w:t>
      </w:r>
    </w:p>
    <w:p w14:paraId="68CC4AC2">
      <w:pPr>
        <w:keepNext/>
        <w:keepLines/>
        <w:numPr>
          <w:ilvl w:val="3"/>
          <w:numId w:val="1"/>
        </w:numPr>
        <w:ind w:left="0" w:firstLine="0" w:firstLineChars="0"/>
        <w:outlineLvl w:val="3"/>
      </w:pPr>
      <w:r>
        <w:rPr>
          <w:rFonts w:hint="eastAsia"/>
        </w:rPr>
        <w:t>运行人员应按照规定落实交接班制度和巡检制度。</w:t>
      </w:r>
    </w:p>
    <w:p w14:paraId="7B81F48D">
      <w:pPr>
        <w:pStyle w:val="4"/>
      </w:pPr>
      <w:r>
        <w:rPr>
          <w:rFonts w:hint="eastAsia"/>
        </w:rPr>
        <w:t>事故应急</w:t>
      </w:r>
    </w:p>
    <w:p w14:paraId="438FC74C">
      <w:pPr>
        <w:keepNext/>
        <w:keepLines/>
        <w:numPr>
          <w:ilvl w:val="3"/>
          <w:numId w:val="1"/>
        </w:numPr>
        <w:ind w:left="0" w:firstLine="0" w:firstLineChars="0"/>
        <w:outlineLvl w:val="3"/>
      </w:pPr>
      <w:r>
        <w:rPr>
          <w:rFonts w:hint="eastAsia"/>
        </w:rPr>
        <w:t>应制定重金属污染土壤旋流淋洗技术修复工程的应急响应预案，并进行演练。事故发生时应及时作出响应，最大程度减少损失；事故处理报告应详细记录事故处理过程。</w:t>
      </w:r>
    </w:p>
    <w:p w14:paraId="7E65305E">
      <w:pPr>
        <w:keepNext/>
        <w:keepLines/>
        <w:numPr>
          <w:ilvl w:val="3"/>
          <w:numId w:val="1"/>
        </w:numPr>
        <w:ind w:left="0" w:firstLine="0" w:firstLineChars="0"/>
        <w:outlineLvl w:val="3"/>
      </w:pPr>
      <w:r>
        <w:rPr>
          <w:rFonts w:hint="eastAsia"/>
        </w:rPr>
        <w:t>应科学分析事故原因、影响范围和程度，完善应急预案。</w:t>
      </w:r>
      <w:bookmarkEnd w:id="8"/>
    </w:p>
    <w:p w14:paraId="3D5BEC37">
      <w:pPr>
        <w:pStyle w:val="4"/>
      </w:pPr>
      <w:r>
        <w:rPr>
          <w:rFonts w:hint="eastAsia"/>
        </w:rPr>
        <w:t>维护</w:t>
      </w:r>
    </w:p>
    <w:p w14:paraId="0A81BC5F">
      <w:pPr>
        <w:keepNext/>
        <w:keepLines/>
        <w:numPr>
          <w:ilvl w:val="3"/>
          <w:numId w:val="1"/>
        </w:numPr>
        <w:ind w:left="0" w:firstLine="0" w:firstLineChars="0"/>
        <w:outlineLvl w:val="3"/>
      </w:pPr>
      <w:r>
        <w:rPr>
          <w:rFonts w:hint="eastAsia"/>
        </w:rPr>
        <w:t>应制定修复工程设备定期维护计划。</w:t>
      </w:r>
    </w:p>
    <w:p w14:paraId="2E243971">
      <w:pPr>
        <w:keepNext/>
        <w:keepLines/>
        <w:numPr>
          <w:ilvl w:val="3"/>
          <w:numId w:val="1"/>
        </w:numPr>
        <w:ind w:left="0" w:firstLine="0" w:firstLineChars="0"/>
        <w:outlineLvl w:val="3"/>
      </w:pPr>
      <w:r>
        <w:rPr>
          <w:rFonts w:hint="eastAsia"/>
        </w:rPr>
        <w:t>维护时，应根据技术要求与规范，对设备定期检查、维护及更换部件和材料。维护对象应包括管线、旋流器等淋洗设备部件。</w:t>
      </w:r>
    </w:p>
    <w:p w14:paraId="78CAB054">
      <w:pPr>
        <w:keepNext/>
        <w:keepLines/>
        <w:numPr>
          <w:ilvl w:val="3"/>
          <w:numId w:val="1"/>
        </w:numPr>
        <w:ind w:left="0" w:firstLine="0" w:firstLineChars="0"/>
        <w:outlineLvl w:val="3"/>
      </w:pPr>
      <w:r>
        <w:rPr>
          <w:rFonts w:hint="eastAsia"/>
        </w:rPr>
        <w:t>在设备维护过程中，应使用台账记录设备的运行时间、故障发生时间、原因及解决措施，同时记录测试阶段的故障次数和频率，并对故障严重性进行评估和记录。</w:t>
      </w:r>
    </w:p>
    <w:p w14:paraId="5474945E">
      <w:pPr>
        <w:ind w:firstLine="199" w:firstLineChars="95"/>
        <w:rPr>
          <w:rFonts w:ascii="宋体" w:hAnsi="宋体"/>
        </w:rPr>
      </w:pPr>
    </w:p>
    <w:p w14:paraId="3E6A1888">
      <w:pPr>
        <w:ind w:firstLine="199" w:firstLineChars="95"/>
        <w:rPr>
          <w:rFonts w:ascii="宋体" w:hAnsi="宋体"/>
        </w:rPr>
      </w:pPr>
      <w:r>
        <mc:AlternateContent>
          <mc:Choice Requires="wps">
            <w:drawing>
              <wp:anchor distT="0" distB="0" distL="114300" distR="114300" simplePos="0" relativeHeight="251659264" behindDoc="0" locked="0" layoutInCell="1" allowOverlap="1">
                <wp:simplePos x="0" y="0"/>
                <wp:positionH relativeFrom="column">
                  <wp:posOffset>1978025</wp:posOffset>
                </wp:positionH>
                <wp:positionV relativeFrom="paragraph">
                  <wp:posOffset>104775</wp:posOffset>
                </wp:positionV>
                <wp:extent cx="1943100" cy="0"/>
                <wp:effectExtent l="0" t="4445" r="0" b="5080"/>
                <wp:wrapNone/>
                <wp:docPr id="1" name="直接连接符 1"/>
                <wp:cNvGraphicFramePr/>
                <a:graphic xmlns:a="http://schemas.openxmlformats.org/drawingml/2006/main">
                  <a:graphicData uri="http://schemas.microsoft.com/office/word/2010/wordprocessingShape">
                    <wps:wsp>
                      <wps:cNvCnPr/>
                      <wps:spPr>
                        <a:xfrm>
                          <a:off x="3121025" y="7259955"/>
                          <a:ext cx="1943100" cy="0"/>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55.75pt;margin-top:8.25pt;height:0pt;width:153pt;z-index:251659264;mso-width-relative:page;mso-height-relative:page;" filled="f" stroked="t" coordsize="21600,21600" o:gfxdata="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e23r/9UAAAAJ&#10;AQAADwAAAAAAAAABACAAAAAiAAAAZHJzL2Rvd25yZXYueG1sUEsBAhQAFAAAAAgAh07iQJC19Rjm&#10;AQAApgMAAA4AAAAAAAAAAQAgAAAAJAEAAGRycy9lMm9Eb2MueG1sUEsFBgAAAAAGAAYAWQEAAHwF&#10;AAAAAA==&#10;">
                <v:fill on="f" focussize="0,0"/>
                <v:stroke color="#000000 [3213]" joinstyle="round"/>
                <v:imagedata o:title=""/>
                <o:lock v:ext="edit" aspectratio="f"/>
              </v:line>
            </w:pict>
          </mc:Fallback>
        </mc:AlternateContent>
      </w:r>
    </w:p>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EU-F1">
    <w:altName w:val="宋体"/>
    <w:panose1 w:val="00000000000000000000"/>
    <w:charset w:val="86"/>
    <w:family w:val="script"/>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Calibri Light">
    <w:panose1 w:val="020F0302020204030204"/>
    <w:charset w:val="00"/>
    <w:family w:val="swiss"/>
    <w:pitch w:val="default"/>
    <w:sig w:usb0="E4002EFF" w:usb1="C200247B" w:usb2="00000009" w:usb3="00000000" w:csb0="200001FF" w:csb1="00000000"/>
  </w:font>
  <w:font w:name="E-F1">
    <w:altName w:val="Malgun Gothic"/>
    <w:panose1 w:val="00000000000000000000"/>
    <w:charset w:val="81"/>
    <w:family w:val="roman"/>
    <w:pitch w:val="default"/>
    <w:sig w:usb0="00000000" w:usb1="00000000" w:usb2="00000033" w:usb3="00000000" w:csb0="00080000" w:csb1="00000000"/>
  </w:font>
  <w:font w:name="Malgun Gothic">
    <w:panose1 w:val="020B0503020000020004"/>
    <w:charset w:val="81"/>
    <w:family w:val="auto"/>
    <w:pitch w:val="default"/>
    <w:sig w:usb0="9000002F" w:usb1="29D77CFB" w:usb2="00000012" w:usb3="00000000" w:csb0="0008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DFE41D">
    <w:pPr>
      <w:pStyle w:val="25"/>
      <w:ind w:firstLine="0" w:firstLineChars="0"/>
      <w:jc w:val="center"/>
    </w:pPr>
    <w:r>
      <w:fldChar w:fldCharType="begin"/>
    </w:r>
    <w:r>
      <w:instrText xml:space="preserve">PAGE   \* MERGEFORMAT</w:instrText>
    </w:r>
    <w:r>
      <w:fldChar w:fldCharType="separate"/>
    </w:r>
    <w:r>
      <w:rPr>
        <w:lang w:val="zh-CN"/>
      </w:rP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A9A0C">
    <w:pPr>
      <w:pStyle w:val="2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4B2EB">
    <w:pPr>
      <w:pStyle w:val="2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48A69">
    <w:pPr>
      <w:pStyle w:val="26"/>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BC93E">
    <w:pPr>
      <w:pStyle w:val="2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57C6A">
    <w:pPr>
      <w:pStyle w:val="2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none"/>
      <w:pStyle w:val="149"/>
      <w:lvlText w:val="表"/>
      <w:lvlJc w:val="left"/>
      <w:pPr>
        <w:tabs>
          <w:tab w:val="left" w:pos="360"/>
        </w:tabs>
        <w:ind w:left="0" w:firstLine="0"/>
      </w:pPr>
      <w:rPr>
        <w:rFonts w:hint="eastAsia" w:ascii="黑体" w:eastAsia="黑体"/>
        <w:b/>
        <w:i w:val="0"/>
        <w:sz w:val="2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3"/>
    <w:multiLevelType w:val="multilevel"/>
    <w:tmpl w:val="00000003"/>
    <w:lvl w:ilvl="0" w:tentative="0">
      <w:start w:val="0"/>
      <w:numFmt w:val="none"/>
      <w:pStyle w:val="126"/>
      <w:lvlText w:val=""/>
      <w:lvlJc w:val="left"/>
      <w:pPr>
        <w:tabs>
          <w:tab w:val="left" w:pos="360"/>
        </w:tabs>
      </w:pPr>
    </w:lvl>
    <w:lvl w:ilvl="1" w:tentative="0">
      <w:start w:val="1"/>
      <w:numFmt w:val="decimal"/>
      <w:lvlText w:val="3.%1.%2"/>
      <w:lvlJc w:val="left"/>
      <w:pPr>
        <w:tabs>
          <w:tab w:val="left" w:pos="720"/>
        </w:tabs>
        <w:ind w:left="0" w:firstLine="0"/>
      </w:pPr>
      <w:rPr>
        <w:rFonts w:hint="eastAsia" w:ascii="黑体" w:eastAsia="黑体"/>
        <w:b/>
        <w:i w:val="0"/>
        <w:sz w:val="20"/>
      </w:rPr>
    </w:lvl>
    <w:lvl w:ilvl="2" w:tentative="0">
      <w:start w:val="1"/>
      <w:numFmt w:val="decimal"/>
      <w:lvlText w:val="3.%1.%2.%3"/>
      <w:lvlJc w:val="left"/>
      <w:pPr>
        <w:tabs>
          <w:tab w:val="left" w:pos="720"/>
        </w:tabs>
        <w:ind w:left="0" w:firstLine="0"/>
      </w:pPr>
      <w:rPr>
        <w:rFonts w:hint="eastAsia" w:ascii="黑体" w:eastAsia="黑体"/>
        <w:b/>
        <w:i w:val="0"/>
        <w:sz w:val="20"/>
      </w:rPr>
    </w:lvl>
    <w:lvl w:ilvl="3" w:tentative="0">
      <w:start w:val="1"/>
      <w:numFmt w:val="decimal"/>
      <w:lvlText w:val="3.%1.%2.%3.%4"/>
      <w:lvlJc w:val="left"/>
      <w:pPr>
        <w:tabs>
          <w:tab w:val="left" w:pos="1077"/>
        </w:tabs>
        <w:ind w:left="0" w:firstLine="0"/>
      </w:pPr>
      <w:rPr>
        <w:rFonts w:hint="eastAsia" w:ascii="黑体" w:eastAsia="黑体"/>
        <w:b/>
        <w:i w:val="0"/>
        <w:sz w:val="20"/>
      </w:rPr>
    </w:lvl>
    <w:lvl w:ilvl="4" w:tentative="0">
      <w:start w:val="1"/>
      <w:numFmt w:val="decimal"/>
      <w:lvlText w:val="3.%1.%2.%3.%4.%5"/>
      <w:lvlJc w:val="left"/>
      <w:pPr>
        <w:tabs>
          <w:tab w:val="left" w:pos="1440"/>
        </w:tabs>
        <w:ind w:left="0" w:firstLine="0"/>
      </w:pPr>
      <w:rPr>
        <w:rFonts w:hint="eastAsia" w:ascii="黑体" w:eastAsia="黑体"/>
        <w:b/>
        <w:i w:val="0"/>
        <w:sz w:val="20"/>
      </w:rPr>
    </w:lvl>
    <w:lvl w:ilvl="5" w:tentative="0">
      <w:start w:val="1"/>
      <w:numFmt w:val="decimal"/>
      <w:lvlText w:val="%1.%2.%3.%4.%5.%6"/>
      <w:lvlJc w:val="left"/>
      <w:pPr>
        <w:tabs>
          <w:tab w:val="left" w:pos="3566"/>
        </w:tabs>
        <w:ind w:left="3260" w:hanging="1134"/>
      </w:pPr>
    </w:lvl>
    <w:lvl w:ilvl="6" w:tentative="0">
      <w:start w:val="1"/>
      <w:numFmt w:val="decimal"/>
      <w:lvlText w:val="%1.%2.%3.%4.%5.%6.%7"/>
      <w:lvlJc w:val="left"/>
      <w:pPr>
        <w:tabs>
          <w:tab w:val="left" w:pos="4351"/>
        </w:tabs>
        <w:ind w:left="3827" w:hanging="1276"/>
      </w:pPr>
    </w:lvl>
    <w:lvl w:ilvl="7" w:tentative="0">
      <w:start w:val="1"/>
      <w:numFmt w:val="decimal"/>
      <w:lvlText w:val="%1.%2.%3.%4.%5.%6.%7.%8"/>
      <w:lvlJc w:val="left"/>
      <w:pPr>
        <w:tabs>
          <w:tab w:val="left" w:pos="4776"/>
        </w:tabs>
        <w:ind w:left="4394" w:hanging="1418"/>
      </w:pPr>
    </w:lvl>
    <w:lvl w:ilvl="8" w:tentative="0">
      <w:start w:val="1"/>
      <w:numFmt w:val="decimal"/>
      <w:lvlText w:val="%1.%2.%3.%4.%5.%6.%7.%8.%9"/>
      <w:lvlJc w:val="left"/>
      <w:pPr>
        <w:tabs>
          <w:tab w:val="left" w:pos="5562"/>
        </w:tabs>
        <w:ind w:left="5102" w:hanging="1700"/>
      </w:pPr>
    </w:lvl>
  </w:abstractNum>
  <w:abstractNum w:abstractNumId="2">
    <w:nsid w:val="00000008"/>
    <w:multiLevelType w:val="multilevel"/>
    <w:tmpl w:val="00000008"/>
    <w:lvl w:ilvl="0" w:tentative="0">
      <w:start w:val="1"/>
      <w:numFmt w:val="none"/>
      <w:pStyle w:val="137"/>
      <w:suff w:val="nothing"/>
      <w:lvlText w:val=""/>
      <w:lvlJc w:val="left"/>
      <w:pPr>
        <w:ind w:left="420" w:firstLine="0"/>
      </w:pPr>
      <w:rPr>
        <w:rFonts w:hint="eastAsia" w:ascii="黑体" w:hAnsi="Times New Roman" w:eastAsia="黑体"/>
        <w:b/>
        <w:i w:val="0"/>
        <w:sz w:val="28"/>
      </w:rPr>
    </w:lvl>
    <w:lvl w:ilvl="1" w:tentative="0">
      <w:start w:val="1"/>
      <w:numFmt w:val="lowerLetter"/>
      <w:pStyle w:val="146"/>
      <w:suff w:val="nothing"/>
      <w:lvlText w:val="%1%2)  "/>
      <w:lvlJc w:val="left"/>
      <w:pPr>
        <w:ind w:left="420" w:hanging="420"/>
      </w:pPr>
      <w:rPr>
        <w:rFonts w:hint="eastAsia" w:ascii="黑体" w:hAnsi="Times New Roman" w:eastAsia="黑体"/>
        <w:b/>
        <w:i w:val="0"/>
        <w:sz w:val="21"/>
      </w:rPr>
    </w:lvl>
    <w:lvl w:ilvl="2" w:tentative="0">
      <w:start w:val="1"/>
      <w:numFmt w:val="decimal"/>
      <w:pStyle w:val="166"/>
      <w:suff w:val="nothing"/>
      <w:lvlText w:val="    %3)　"/>
      <w:lvlJc w:val="left"/>
      <w:pPr>
        <w:ind w:left="0" w:firstLine="0"/>
      </w:pPr>
      <w:rPr>
        <w:rFonts w:hint="eastAsia" w:ascii="黑体" w:hAnsi="Times New Roman" w:eastAsia="黑体"/>
        <w:b/>
        <w:i w:val="0"/>
        <w:sz w:val="21"/>
      </w:rPr>
    </w:lvl>
    <w:lvl w:ilvl="3" w:tentative="0">
      <w:start w:val="1"/>
      <w:numFmt w:val="decimal"/>
      <w:pStyle w:val="169"/>
      <w:suff w:val="nothing"/>
      <w:lvlText w:val="%1%2.%3.%4　"/>
      <w:lvlJc w:val="left"/>
      <w:pPr>
        <w:ind w:left="420" w:firstLine="0"/>
      </w:pPr>
      <w:rPr>
        <w:rFonts w:hint="eastAsia" w:ascii="黑体" w:hAnsi="Times New Roman" w:eastAsia="黑体"/>
        <w:b/>
        <w:i w:val="0"/>
        <w:sz w:val="21"/>
      </w:rPr>
    </w:lvl>
    <w:lvl w:ilvl="4" w:tentative="0">
      <w:start w:val="1"/>
      <w:numFmt w:val="decimal"/>
      <w:pStyle w:val="121"/>
      <w:suff w:val="nothing"/>
      <w:lvlText w:val="%2.0.%5  "/>
      <w:lvlJc w:val="left"/>
      <w:pPr>
        <w:ind w:left="420" w:firstLine="0"/>
      </w:pPr>
      <w:rPr>
        <w:rFonts w:hint="eastAsia" w:ascii="黑体" w:hAnsi="Times New Roman" w:eastAsia="黑体"/>
        <w:b/>
        <w:i w:val="0"/>
        <w:sz w:val="21"/>
      </w:rPr>
    </w:lvl>
    <w:lvl w:ilvl="5" w:tentative="0">
      <w:start w:val="1"/>
      <w:numFmt w:val="decimal"/>
      <w:suff w:val="nothing"/>
      <w:lvlText w:val="      %6)  "/>
      <w:lvlJc w:val="left"/>
      <w:pPr>
        <w:ind w:left="1441" w:hanging="1021"/>
      </w:pPr>
      <w:rPr>
        <w:rFonts w:hint="eastAsia" w:ascii="黑体" w:hAnsi="Times New Roman" w:eastAsia="黑体"/>
        <w:b/>
        <w:i w:val="0"/>
        <w:sz w:val="21"/>
      </w:rPr>
    </w:lvl>
    <w:lvl w:ilvl="6" w:tentative="0">
      <w:start w:val="1"/>
      <w:numFmt w:val="decimal"/>
      <w:suff w:val="nothing"/>
      <w:lvlText w:val="表 %2.%3.%4-%7  "/>
      <w:lvlJc w:val="left"/>
      <w:pPr>
        <w:ind w:left="420" w:firstLine="0"/>
      </w:pPr>
      <w:rPr>
        <w:rFonts w:hint="eastAsia" w:ascii="黑体" w:hAnsi="Times New Roman" w:eastAsia="黑体"/>
        <w:b/>
        <w:i w:val="0"/>
        <w:sz w:val="21"/>
      </w:rPr>
    </w:lvl>
    <w:lvl w:ilvl="7" w:tentative="0">
      <w:start w:val="1"/>
      <w:numFmt w:val="decimal"/>
      <w:suff w:val="nothing"/>
      <w:lvlText w:val="图 %2.%3.%4-%8  "/>
      <w:lvlJc w:val="left"/>
      <w:pPr>
        <w:ind w:left="420" w:firstLine="0"/>
      </w:pPr>
      <w:rPr>
        <w:rFonts w:hint="eastAsia" w:ascii="黑体" w:eastAsia="黑体"/>
        <w:b/>
        <w:i w:val="0"/>
        <w:sz w:val="21"/>
      </w:rPr>
    </w:lvl>
    <w:lvl w:ilvl="8" w:tentative="0">
      <w:start w:val="1"/>
      <w:numFmt w:val="decimal"/>
      <w:suff w:val="nothing"/>
      <w:lvlText w:val="    %9  "/>
      <w:lvlJc w:val="left"/>
      <w:pPr>
        <w:ind w:left="420" w:firstLine="0"/>
      </w:pPr>
      <w:rPr>
        <w:rFonts w:hint="eastAsia" w:ascii="黑体" w:hAnsi="华文细黑" w:eastAsia="黑体"/>
        <w:b/>
        <w:i w:val="0"/>
        <w:sz w:val="21"/>
      </w:rPr>
    </w:lvl>
  </w:abstractNum>
  <w:abstractNum w:abstractNumId="3">
    <w:nsid w:val="00000009"/>
    <w:multiLevelType w:val="multilevel"/>
    <w:tmpl w:val="00000009"/>
    <w:lvl w:ilvl="0" w:tentative="0">
      <w:start w:val="1"/>
      <w:numFmt w:val="none"/>
      <w:pStyle w:val="99"/>
      <w:suff w:val="nothing"/>
      <w:lvlText w:val="　"/>
      <w:lvlJc w:val="left"/>
      <w:pPr>
        <w:ind w:left="0" w:firstLine="0"/>
      </w:pPr>
      <w:rPr>
        <w:rFonts w:hint="eastAsia" w:ascii="黑体" w:hAnsi="Times New Roman" w:eastAsia="黑体"/>
        <w:b w:val="0"/>
        <w:i w:val="0"/>
        <w:sz w:val="21"/>
      </w:rPr>
    </w:lvl>
    <w:lvl w:ilvl="1" w:tentative="0">
      <w:start w:val="1"/>
      <w:numFmt w:val="decimal"/>
      <w:pStyle w:val="110"/>
      <w:isLgl/>
      <w:suff w:val="nothing"/>
      <w:lvlText w:val="%2　"/>
      <w:lvlJc w:val="left"/>
      <w:pPr>
        <w:ind w:left="0" w:firstLine="0"/>
      </w:pPr>
      <w:rPr>
        <w:rFonts w:hint="eastAsia" w:ascii="黑体" w:hAnsi="Times New Roman" w:eastAsia="黑体"/>
        <w:b/>
        <w:i w:val="0"/>
        <w:snapToGrid/>
        <w:spacing w:val="0"/>
        <w:w w:val="100"/>
        <w:kern w:val="21"/>
        <w:sz w:val="21"/>
      </w:rPr>
    </w:lvl>
    <w:lvl w:ilvl="2" w:tentative="0">
      <w:start w:val="1"/>
      <w:numFmt w:val="decimal"/>
      <w:pStyle w:val="109"/>
      <w:suff w:val="nothing"/>
      <w:lvlText w:val="%1%2.%3　"/>
      <w:lvlJc w:val="left"/>
      <w:pPr>
        <w:ind w:left="0" w:firstLine="0"/>
      </w:pPr>
      <w:rPr>
        <w:rFonts w:hint="eastAsia" w:ascii="黑体" w:hAnsi="Times New Roman" w:eastAsia="黑体"/>
        <w:b/>
        <w:i w:val="0"/>
        <w:sz w:val="21"/>
      </w:rPr>
    </w:lvl>
    <w:lvl w:ilvl="3" w:tentative="0">
      <w:start w:val="1"/>
      <w:numFmt w:val="decimal"/>
      <w:pStyle w:val="108"/>
      <w:suff w:val="nothing"/>
      <w:lvlText w:val="%1%2.%3.%4　"/>
      <w:lvlJc w:val="left"/>
      <w:pPr>
        <w:ind w:left="0" w:firstLine="0"/>
      </w:pPr>
      <w:rPr>
        <w:rFonts w:hint="eastAsia" w:ascii="黑体" w:hAnsi="Times New Roman" w:eastAsia="黑体"/>
        <w:b/>
        <w:i w:val="0"/>
        <w:sz w:val="21"/>
      </w:rPr>
    </w:lvl>
    <w:lvl w:ilvl="4" w:tentative="0">
      <w:start w:val="1"/>
      <w:numFmt w:val="decimal"/>
      <w:pStyle w:val="123"/>
      <w:suff w:val="nothing"/>
      <w:lvlText w:val="%1%2.%3.%4.%5　"/>
      <w:lvlJc w:val="left"/>
      <w:pPr>
        <w:ind w:left="0" w:firstLine="0"/>
      </w:pPr>
      <w:rPr>
        <w:rFonts w:hint="eastAsia" w:ascii="黑体" w:hAnsi="Times New Roman" w:eastAsia="黑体"/>
        <w:b/>
        <w:i w:val="0"/>
        <w:sz w:val="21"/>
      </w:rPr>
    </w:lvl>
    <w:lvl w:ilvl="5" w:tentative="0">
      <w:start w:val="1"/>
      <w:numFmt w:val="decimal"/>
      <w:pStyle w:val="129"/>
      <w:suff w:val="nothing"/>
      <w:lvlText w:val="%1%2.%3.%4.%5.%6　"/>
      <w:lvlJc w:val="left"/>
      <w:pPr>
        <w:ind w:left="0" w:firstLine="0"/>
      </w:pPr>
      <w:rPr>
        <w:rFonts w:hint="eastAsia" w:ascii="黑体" w:hAnsi="Times New Roman" w:eastAsia="黑体"/>
        <w:b/>
        <w:i w:val="0"/>
        <w:sz w:val="21"/>
      </w:rPr>
    </w:lvl>
    <w:lvl w:ilvl="6" w:tentative="0">
      <w:start w:val="1"/>
      <w:numFmt w:val="decimal"/>
      <w:pStyle w:val="157"/>
      <w:suff w:val="nothing"/>
      <w:lvlText w:val="%1%2.%3.%4.%5.%6.%7　"/>
      <w:lvlJc w:val="left"/>
      <w:pPr>
        <w:ind w:left="0" w:firstLine="0"/>
      </w:pPr>
      <w:rPr>
        <w:rFonts w:hint="eastAsia" w:ascii="黑体" w:hAnsi="Times New Roman" w:eastAsia="黑体"/>
        <w:b/>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0000000A"/>
    <w:multiLevelType w:val="multilevel"/>
    <w:tmpl w:val="0000000A"/>
    <w:lvl w:ilvl="0" w:tentative="0">
      <w:start w:val="1"/>
      <w:numFmt w:val="none"/>
      <w:lvlText w:val="%1式中："/>
      <w:lvlJc w:val="left"/>
      <w:pPr>
        <w:tabs>
          <w:tab w:val="left" w:pos="918"/>
        </w:tabs>
        <w:ind w:left="0" w:firstLine="198"/>
      </w:pPr>
      <w:rPr>
        <w:rFonts w:hint="eastAsia" w:ascii="宋体"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pStyle w:val="161"/>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0D"/>
    <w:multiLevelType w:val="multilevel"/>
    <w:tmpl w:val="0000000D"/>
    <w:lvl w:ilvl="0" w:tentative="0">
      <w:start w:val="1"/>
      <w:numFmt w:val="none"/>
      <w:pStyle w:val="155"/>
      <w:lvlText w:val="%1示例"/>
      <w:lvlJc w:val="left"/>
      <w:pPr>
        <w:tabs>
          <w:tab w:val="left" w:pos="1140"/>
        </w:tabs>
        <w:ind w:left="20" w:firstLine="400"/>
      </w:pPr>
      <w:rPr>
        <w:rFonts w:hint="eastAsia" w:ascii="宋体"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0E"/>
    <w:multiLevelType w:val="multilevel"/>
    <w:tmpl w:val="0000000E"/>
    <w:lvl w:ilvl="0" w:tentative="0">
      <w:start w:val="1"/>
      <w:numFmt w:val="decimal"/>
      <w:lvlText w:val="%1  "/>
      <w:lvlJc w:val="left"/>
      <w:pPr>
        <w:tabs>
          <w:tab w:val="left" w:pos="360"/>
        </w:tabs>
        <w:ind w:left="0" w:firstLine="0"/>
      </w:pPr>
      <w:rPr>
        <w:rFonts w:hint="eastAsia" w:ascii="黑体" w:eastAsia="黑体"/>
        <w:b/>
        <w:i w:val="0"/>
        <w:sz w:val="2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pStyle w:val="118"/>
      <w:lvlText w:val="%6."/>
      <w:lvlJc w:val="right"/>
      <w:pPr>
        <w:tabs>
          <w:tab w:val="left" w:pos="2520"/>
        </w:tabs>
        <w:ind w:left="2520" w:hanging="420"/>
      </w:pPr>
    </w:lvl>
    <w:lvl w:ilvl="6" w:tentative="0">
      <w:start w:val="1"/>
      <w:numFmt w:val="decimal"/>
      <w:pStyle w:val="128"/>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1"/>
    <w:multiLevelType w:val="multilevel"/>
    <w:tmpl w:val="00000011"/>
    <w:lvl w:ilvl="0" w:tentative="0">
      <w:start w:val="1"/>
      <w:numFmt w:val="none"/>
      <w:lvlText w:val="图"/>
      <w:lvlJc w:val="left"/>
      <w:pPr>
        <w:tabs>
          <w:tab w:val="left" w:pos="360"/>
        </w:tabs>
        <w:ind w:left="0" w:firstLine="0"/>
      </w:pPr>
      <w:rPr>
        <w:rFonts w:hint="eastAsia" w:ascii="黑体" w:eastAsia="黑体"/>
        <w:b/>
        <w:i w:val="0"/>
        <w:sz w:val="20"/>
      </w:rPr>
    </w:lvl>
    <w:lvl w:ilvl="1" w:tentative="0">
      <w:start w:val="1"/>
      <w:numFmt w:val="lowerLetter"/>
      <w:pStyle w:val="130"/>
      <w:lvlText w:val="%2)"/>
      <w:lvlJc w:val="left"/>
      <w:pPr>
        <w:tabs>
          <w:tab w:val="left" w:pos="840"/>
        </w:tabs>
        <w:ind w:left="840" w:hanging="420"/>
      </w:pPr>
    </w:lvl>
    <w:lvl w:ilvl="2" w:tentative="0">
      <w:start w:val="1"/>
      <w:numFmt w:val="lowerRoman"/>
      <w:pStyle w:val="107"/>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13"/>
    <w:multiLevelType w:val="multilevel"/>
    <w:tmpl w:val="00000013"/>
    <w:lvl w:ilvl="0" w:tentative="0">
      <w:start w:val="1"/>
      <w:numFmt w:val="none"/>
      <w:pStyle w:val="174"/>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0000014"/>
    <w:multiLevelType w:val="multilevel"/>
    <w:tmpl w:val="00000014"/>
    <w:lvl w:ilvl="0" w:tentative="0">
      <w:start w:val="1"/>
      <w:numFmt w:val="none"/>
      <w:pStyle w:val="151"/>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0000015"/>
    <w:multiLevelType w:val="multilevel"/>
    <w:tmpl w:val="00000015"/>
    <w:lvl w:ilvl="0" w:tentative="0">
      <w:start w:val="1"/>
      <w:numFmt w:val="none"/>
      <w:pStyle w:val="144"/>
      <w:lvlText w:val="%1·　"/>
      <w:lvlJc w:val="left"/>
      <w:pPr>
        <w:tabs>
          <w:tab w:val="left" w:pos="1140"/>
        </w:tabs>
        <w:ind w:left="737" w:hanging="317"/>
      </w:pPr>
      <w:rPr>
        <w:rFonts w:hint="eastAsia" w:ascii="宋体" w:hAnsi="Times New Roman" w:eastAsia="宋体"/>
        <w:b w:val="0"/>
        <w:i w:val="0"/>
        <w:sz w:val="21"/>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1">
    <w:nsid w:val="00000017"/>
    <w:multiLevelType w:val="multilevel"/>
    <w:tmpl w:val="00000017"/>
    <w:lvl w:ilvl="0" w:tentative="0">
      <w:start w:val="1"/>
      <w:numFmt w:val="decimal"/>
      <w:pStyle w:val="102"/>
      <w:lvlText w:val="图%1"/>
      <w:lvlJc w:val="left"/>
      <w:pPr>
        <w:tabs>
          <w:tab w:val="left" w:pos="360"/>
        </w:tabs>
        <w:ind w:left="0" w:firstLine="0"/>
      </w:pPr>
      <w:rPr>
        <w:rFonts w:hint="eastAsia" w:ascii="黑体" w:eastAsia="黑体"/>
        <w:b/>
        <w:i w:val="0"/>
        <w:sz w:val="2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0000018"/>
    <w:multiLevelType w:val="multilevel"/>
    <w:tmpl w:val="00000018"/>
    <w:lvl w:ilvl="0" w:tentative="0">
      <w:start w:val="1"/>
      <w:numFmt w:val="decimal"/>
      <w:pStyle w:val="135"/>
      <w:lvlText w:val="0.%1"/>
      <w:lvlJc w:val="left"/>
      <w:pPr>
        <w:tabs>
          <w:tab w:val="left" w:pos="360"/>
        </w:tabs>
        <w:ind w:left="0" w:firstLine="0"/>
      </w:pPr>
      <w:rPr>
        <w:rFonts w:hint="eastAsia" w:ascii="宋体" w:hAnsi="Times New Roman" w:eastAsia="宋体"/>
        <w:b/>
        <w:i w:val="0"/>
        <w:sz w:val="21"/>
      </w:rPr>
    </w:lvl>
    <w:lvl w:ilvl="1" w:tentative="0">
      <w:start w:val="1"/>
      <w:numFmt w:val="decimal"/>
      <w:lvlText w:val="0.%1.%2"/>
      <w:lvlJc w:val="left"/>
      <w:pPr>
        <w:tabs>
          <w:tab w:val="left" w:pos="720"/>
        </w:tabs>
        <w:ind w:left="0" w:firstLine="0"/>
      </w:pPr>
      <w:rPr>
        <w:rFonts w:hint="eastAsia" w:ascii="黑体" w:hAnsi="Times New Roman" w:eastAsia="黑体"/>
        <w:b/>
        <w:i w:val="0"/>
        <w:sz w:val="21"/>
      </w:rPr>
    </w:lvl>
    <w:lvl w:ilvl="2" w:tentative="0">
      <w:start w:val="1"/>
      <w:numFmt w:val="decimal"/>
      <w:lvlText w:val="0.%2.%3  "/>
      <w:lvlJc w:val="left"/>
      <w:pPr>
        <w:tabs>
          <w:tab w:val="left" w:pos="-31680"/>
        </w:tabs>
        <w:ind w:left="-32767" w:firstLine="0"/>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13">
    <w:nsid w:val="00000019"/>
    <w:multiLevelType w:val="multilevel"/>
    <w:tmpl w:val="00000019"/>
    <w:lvl w:ilvl="0" w:tentative="0">
      <w:start w:val="1"/>
      <w:numFmt w:val="none"/>
      <w:lvlText w:val="表"/>
      <w:lvlJc w:val="left"/>
      <w:pPr>
        <w:tabs>
          <w:tab w:val="left" w:pos="360"/>
        </w:tabs>
        <w:ind w:left="0" w:firstLine="0"/>
      </w:pPr>
      <w:rPr>
        <w:rFonts w:hint="eastAsia" w:ascii="宋体" w:eastAsia="宋体"/>
        <w:b w:val="0"/>
        <w:i w:val="0"/>
        <w:sz w:val="20"/>
      </w:rPr>
    </w:lvl>
    <w:lvl w:ilvl="1" w:tentative="0">
      <w:start w:val="1"/>
      <w:numFmt w:val="lowerLetter"/>
      <w:lvlText w:val="%2)"/>
      <w:lvlJc w:val="left"/>
      <w:pPr>
        <w:tabs>
          <w:tab w:val="left" w:pos="840"/>
        </w:tabs>
        <w:ind w:left="840" w:hanging="420"/>
      </w:pPr>
    </w:lvl>
    <w:lvl w:ilvl="2" w:tentative="0">
      <w:start w:val="1"/>
      <w:numFmt w:val="lowerRoman"/>
      <w:pStyle w:val="177"/>
      <w:lvlText w:val="%3."/>
      <w:lvlJc w:val="right"/>
      <w:pPr>
        <w:tabs>
          <w:tab w:val="left" w:pos="1260"/>
        </w:tabs>
        <w:ind w:left="1260" w:hanging="420"/>
      </w:pPr>
    </w:lvl>
    <w:lvl w:ilvl="3" w:tentative="0">
      <w:start w:val="1"/>
      <w:numFmt w:val="decimal"/>
      <w:pStyle w:val="179"/>
      <w:lvlText w:val="%4."/>
      <w:lvlJc w:val="left"/>
      <w:pPr>
        <w:tabs>
          <w:tab w:val="left" w:pos="1680"/>
        </w:tabs>
        <w:ind w:left="1680" w:hanging="420"/>
      </w:pPr>
    </w:lvl>
    <w:lvl w:ilvl="4" w:tentative="0">
      <w:start w:val="1"/>
      <w:numFmt w:val="lowerLetter"/>
      <w:pStyle w:val="178"/>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0000001A"/>
    <w:multiLevelType w:val="multilevel"/>
    <w:tmpl w:val="0000001A"/>
    <w:lvl w:ilvl="0" w:tentative="0">
      <w:start w:val="1"/>
      <w:numFmt w:val="none"/>
      <w:pStyle w:val="92"/>
      <w:suff w:val="nothing"/>
      <w:lvlText w:val=""/>
      <w:lvlJc w:val="left"/>
      <w:pPr>
        <w:ind w:left="0" w:firstLine="0"/>
      </w:pPr>
      <w:rPr>
        <w:rFonts w:hint="eastAsia" w:ascii="黑体" w:hAnsi="Times New Roman" w:eastAsia="黑体"/>
        <w:b/>
        <w:i w:val="0"/>
        <w:sz w:val="28"/>
      </w:rPr>
    </w:lvl>
    <w:lvl w:ilvl="1" w:tentative="0">
      <w:start w:val="1"/>
      <w:numFmt w:val="decimal"/>
      <w:suff w:val="nothing"/>
      <w:lvlText w:val="%1%2 "/>
      <w:lvlJc w:val="left"/>
      <w:pPr>
        <w:ind w:left="0" w:firstLine="0"/>
      </w:pPr>
      <w:rPr>
        <w:rFonts w:hint="eastAsia" w:ascii="黑体" w:hAnsi="Times New Roman" w:eastAsia="黑体"/>
        <w:b/>
        <w:i w:val="0"/>
        <w:sz w:val="28"/>
      </w:rPr>
    </w:lvl>
    <w:lvl w:ilvl="2" w:tentative="0">
      <w:start w:val="1"/>
      <w:numFmt w:val="decimal"/>
      <w:suff w:val="nothing"/>
      <w:lvlText w:val="%1%2.%3　"/>
      <w:lvlJc w:val="left"/>
      <w:pPr>
        <w:ind w:left="0" w:firstLine="0"/>
      </w:pPr>
      <w:rPr>
        <w:rFonts w:hint="eastAsia" w:ascii="黑体" w:hAnsi="Times New Roman" w:eastAsia="黑体"/>
        <w:b/>
        <w:i w:val="0"/>
        <w:sz w:val="21"/>
      </w:rPr>
    </w:lvl>
    <w:lvl w:ilvl="3" w:tentative="0">
      <w:start w:val="1"/>
      <w:numFmt w:val="decimal"/>
      <w:suff w:val="nothing"/>
      <w:lvlText w:val="%1%2.%3.%4　"/>
      <w:lvlJc w:val="left"/>
      <w:pPr>
        <w:ind w:left="0" w:firstLine="0"/>
      </w:pPr>
      <w:rPr>
        <w:rFonts w:hint="eastAsia" w:ascii="黑体" w:hAnsi="Times New Roman" w:eastAsia="黑体"/>
        <w:b/>
        <w:i w:val="0"/>
        <w:sz w:val="21"/>
      </w:rPr>
    </w:lvl>
    <w:lvl w:ilvl="4" w:tentative="0">
      <w:start w:val="1"/>
      <w:numFmt w:val="decimal"/>
      <w:suff w:val="nothing"/>
      <w:lvlText w:val="表%1%2.%3.%4-%5 "/>
      <w:lvlJc w:val="left"/>
      <w:pPr>
        <w:ind w:left="0" w:firstLine="0"/>
      </w:pPr>
      <w:rPr>
        <w:rFonts w:hint="eastAsia" w:ascii="黑体" w:hAnsi="Times New Roman" w:eastAsia="黑体"/>
        <w:b/>
        <w:i w:val="0"/>
        <w:sz w:val="21"/>
      </w:rPr>
    </w:lvl>
    <w:lvl w:ilvl="5" w:tentative="0">
      <w:start w:val="1"/>
      <w:numFmt w:val="decimal"/>
      <w:suff w:val="nothing"/>
      <w:lvlText w:val="%1图%2.%3.%4-%6 "/>
      <w:lvlJc w:val="left"/>
      <w:pPr>
        <w:ind w:left="0" w:firstLine="0"/>
      </w:pPr>
      <w:rPr>
        <w:rFonts w:hint="eastAsia" w:ascii="黑体" w:hAnsi="Times New Roman" w:eastAsia="黑体"/>
        <w:b/>
        <w:i w:val="0"/>
        <w:sz w:val="21"/>
      </w:rPr>
    </w:lvl>
    <w:lvl w:ilvl="6" w:tentative="0">
      <w:start w:val="1"/>
      <w:numFmt w:val="decimal"/>
      <w:suff w:val="nothing"/>
      <w:lvlText w:val="(%2.%3.%4-%7)"/>
      <w:lvlJc w:val="center"/>
      <w:pPr>
        <w:ind w:left="288" w:firstLine="288"/>
      </w:pPr>
      <w:rPr>
        <w:rFonts w:hint="eastAsia" w:ascii="黑体" w:hAnsi="Times New Roman" w:eastAsia="黑体"/>
        <w:b/>
        <w:i w:val="0"/>
        <w:sz w:val="21"/>
      </w:rPr>
    </w:lvl>
    <w:lvl w:ilvl="7" w:tentative="0">
      <w:start w:val="1"/>
      <w:numFmt w:val="decimal"/>
      <w:lvlText w:val="    %1%8"/>
      <w:lvlJc w:val="left"/>
      <w:pPr>
        <w:tabs>
          <w:tab w:val="left" w:pos="720"/>
        </w:tabs>
        <w:ind w:left="0" w:firstLine="0"/>
      </w:pPr>
      <w:rPr>
        <w:rFonts w:hint="eastAsia" w:ascii="黑体" w:eastAsia="黑体"/>
        <w:b/>
        <w:i w:val="0"/>
        <w:sz w:val="21"/>
      </w:rPr>
    </w:lvl>
    <w:lvl w:ilvl="8" w:tentative="0">
      <w:start w:val="1"/>
      <w:numFmt w:val="decimal"/>
      <w:lvlText w:val="%2.0.%9"/>
      <w:lvlJc w:val="left"/>
      <w:pPr>
        <w:tabs>
          <w:tab w:val="left" w:pos="720"/>
        </w:tabs>
        <w:ind w:left="0" w:firstLine="0"/>
      </w:pPr>
      <w:rPr>
        <w:rFonts w:hint="eastAsia" w:ascii="黑体" w:hAnsi="华文细黑" w:eastAsia="黑体"/>
        <w:b/>
        <w:i w:val="0"/>
        <w:sz w:val="21"/>
      </w:rPr>
    </w:lvl>
  </w:abstractNum>
  <w:abstractNum w:abstractNumId="15">
    <w:nsid w:val="0000001D"/>
    <w:multiLevelType w:val="multilevel"/>
    <w:tmpl w:val="0000001D"/>
    <w:lvl w:ilvl="0" w:tentative="0">
      <w:start w:val="1"/>
      <w:numFmt w:val="upperLetter"/>
      <w:pStyle w:val="103"/>
      <w:suff w:val="nothing"/>
      <w:lvlText w:val="附录  %1"/>
      <w:lvlJc w:val="left"/>
      <w:pPr>
        <w:ind w:left="0" w:firstLine="0"/>
      </w:pPr>
      <w:rPr>
        <w:rFonts w:hint="eastAsia" w:ascii="黑体" w:hAnsi="Times New Roman" w:eastAsia="黑体"/>
        <w:b/>
        <w:i w:val="0"/>
        <w:sz w:val="21"/>
      </w:rPr>
    </w:lvl>
    <w:lvl w:ilvl="1" w:tentative="0">
      <w:start w:val="1"/>
      <w:numFmt w:val="decimal"/>
      <w:suff w:val="nothing"/>
      <w:lvlText w:val="%1.%2　"/>
      <w:lvlJc w:val="left"/>
      <w:pPr>
        <w:ind w:left="0" w:firstLine="0"/>
      </w:pPr>
      <w:rPr>
        <w:rFonts w:hint="eastAsia" w:ascii="黑体" w:hAnsi="Times New Roman" w:eastAsia="黑体"/>
        <w:b/>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i w:val="0"/>
        <w:sz w:val="21"/>
      </w:rPr>
    </w:lvl>
    <w:lvl w:ilvl="3" w:tentative="0">
      <w:start w:val="1"/>
      <w:numFmt w:val="decimal"/>
      <w:suff w:val="nothing"/>
      <w:lvlText w:val="%1.%2.%3.%4　"/>
      <w:lvlJc w:val="left"/>
      <w:pPr>
        <w:ind w:left="0" w:firstLine="0"/>
      </w:pPr>
      <w:rPr>
        <w:rFonts w:hint="eastAsia" w:ascii="黑体" w:hAnsi="Times New Roman" w:eastAsia="黑体"/>
        <w:b/>
        <w:i w:val="0"/>
        <w:sz w:val="21"/>
      </w:rPr>
    </w:lvl>
    <w:lvl w:ilvl="4" w:tentative="0">
      <w:start w:val="1"/>
      <w:numFmt w:val="decimal"/>
      <w:suff w:val="nothing"/>
      <w:lvlText w:val="%1.%2.%3.%4.%5　"/>
      <w:lvlJc w:val="left"/>
      <w:pPr>
        <w:ind w:left="0" w:firstLine="0"/>
      </w:pPr>
      <w:rPr>
        <w:rFonts w:hint="eastAsia" w:ascii="黑体" w:hAnsi="Times New Roman" w:eastAsia="黑体"/>
        <w:b/>
        <w:i w:val="0"/>
        <w:sz w:val="21"/>
      </w:rPr>
    </w:lvl>
    <w:lvl w:ilvl="5" w:tentative="0">
      <w:start w:val="1"/>
      <w:numFmt w:val="decimal"/>
      <w:suff w:val="nothing"/>
      <w:lvlText w:val="%1.%2.%3.%4.%5.%6　"/>
      <w:lvlJc w:val="left"/>
      <w:pPr>
        <w:ind w:left="0" w:firstLine="0"/>
      </w:pPr>
      <w:rPr>
        <w:rFonts w:hint="eastAsia" w:ascii="黑体" w:hAnsi="Times New Roman" w:eastAsia="黑体"/>
        <w:b/>
        <w:i w:val="0"/>
        <w:sz w:val="21"/>
      </w:rPr>
    </w:lvl>
    <w:lvl w:ilvl="6" w:tentative="0">
      <w:start w:val="1"/>
      <w:numFmt w:val="decimal"/>
      <w:suff w:val="nothing"/>
      <w:lvlText w:val="%1.%2.%3.%4.%5.%6.%7　"/>
      <w:lvlJc w:val="left"/>
      <w:pPr>
        <w:ind w:left="0" w:firstLine="0"/>
      </w:pPr>
      <w:rPr>
        <w:rFonts w:hint="eastAsia" w:ascii="黑体" w:hAnsi="Times New Roman" w:eastAsia="黑体"/>
        <w:b/>
        <w:i w:val="0"/>
        <w:sz w:val="21"/>
      </w:rPr>
    </w:lvl>
    <w:lvl w:ilvl="7" w:tentative="0">
      <w:start w:val="1"/>
      <w:numFmt w:val="none"/>
      <w:lvlText w:val="表 %1."/>
      <w:lvlJc w:val="left"/>
      <w:pPr>
        <w:tabs>
          <w:tab w:val="left" w:pos="720"/>
        </w:tabs>
        <w:ind w:left="0" w:firstLine="0"/>
      </w:pPr>
      <w:rPr>
        <w:rFonts w:hint="eastAsia" w:ascii="黑体" w:eastAsia="黑体"/>
        <w:b/>
        <w:i w:val="0"/>
        <w:sz w:val="20"/>
      </w:rPr>
    </w:lvl>
    <w:lvl w:ilvl="8" w:tentative="0">
      <w:start w:val="1"/>
      <w:numFmt w:val="none"/>
      <w:lvlText w:val="图 %1."/>
      <w:lvlJc w:val="left"/>
      <w:pPr>
        <w:tabs>
          <w:tab w:val="left" w:pos="720"/>
        </w:tabs>
        <w:ind w:left="0" w:firstLine="0"/>
      </w:pPr>
      <w:rPr>
        <w:rFonts w:hint="eastAsia" w:ascii="黑体" w:eastAsia="黑体"/>
        <w:b/>
        <w:i w:val="0"/>
        <w:sz w:val="20"/>
      </w:rPr>
    </w:lvl>
  </w:abstractNum>
  <w:abstractNum w:abstractNumId="16">
    <w:nsid w:val="0000001E"/>
    <w:multiLevelType w:val="multilevel"/>
    <w:tmpl w:val="0000001E"/>
    <w:lvl w:ilvl="0" w:tentative="0">
      <w:start w:val="1"/>
      <w:numFmt w:val="decimal"/>
      <w:pStyle w:val="140"/>
      <w:lvlText w:val="0.%1"/>
      <w:lvlJc w:val="left"/>
      <w:pPr>
        <w:tabs>
          <w:tab w:val="left" w:pos="360"/>
        </w:tabs>
        <w:ind w:left="0" w:firstLine="0"/>
      </w:pPr>
      <w:rPr>
        <w:rFonts w:hint="eastAsia" w:ascii="黑体" w:hAnsi="Times New Roman" w:eastAsia="黑体"/>
        <w:b/>
        <w:i w:val="0"/>
        <w:sz w:val="21"/>
      </w:rPr>
    </w:lvl>
    <w:lvl w:ilvl="1" w:tentative="0">
      <w:start w:val="1"/>
      <w:numFmt w:val="decimal"/>
      <w:lvlText w:val="0.%1.%2"/>
      <w:lvlJc w:val="left"/>
      <w:pPr>
        <w:tabs>
          <w:tab w:val="left" w:pos="720"/>
        </w:tabs>
        <w:ind w:left="0" w:firstLine="0"/>
      </w:pPr>
      <w:rPr>
        <w:rFonts w:hint="eastAsia" w:ascii="黑体" w:hAnsi="Times New Roman" w:eastAsia="黑体"/>
        <w:b/>
        <w:i w:val="0"/>
        <w:sz w:val="21"/>
      </w:rPr>
    </w:lvl>
    <w:lvl w:ilvl="2" w:tentative="0">
      <w:start w:val="1"/>
      <w:numFmt w:val="decimal"/>
      <w:lvlText w:val="0.%2.%3"/>
      <w:lvlJc w:val="left"/>
      <w:pPr>
        <w:tabs>
          <w:tab w:val="left" w:pos="720"/>
        </w:tabs>
        <w:ind w:left="0" w:firstLine="0"/>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17">
    <w:nsid w:val="00000021"/>
    <w:multiLevelType w:val="multilevel"/>
    <w:tmpl w:val="00000021"/>
    <w:lvl w:ilvl="0" w:tentative="0">
      <w:start w:val="1"/>
      <w:numFmt w:val="none"/>
      <w:pStyle w:val="168"/>
      <w:suff w:val="nothing"/>
      <w:lvlText w:val=""/>
      <w:lvlJc w:val="left"/>
      <w:pPr>
        <w:ind w:left="0" w:firstLine="0"/>
      </w:pPr>
      <w:rPr>
        <w:rFonts w:hint="eastAsia" w:ascii="黑体" w:hAnsi="Times New Roman" w:eastAsia="黑体"/>
        <w:b/>
        <w:i w:val="0"/>
        <w:sz w:val="21"/>
      </w:rPr>
    </w:lvl>
    <w:lvl w:ilvl="1" w:tentative="0">
      <w:start w:val="1"/>
      <w:numFmt w:val="decimal"/>
      <w:lvlText w:val="表%2"/>
      <w:lvlJc w:val="left"/>
      <w:pPr>
        <w:tabs>
          <w:tab w:val="left" w:pos="360"/>
        </w:tabs>
        <w:ind w:left="0" w:firstLine="0"/>
      </w:pPr>
      <w:rPr>
        <w:rFonts w:hint="eastAsia" w:ascii="黑体" w:hAnsi="Times New Roman" w:eastAsia="黑体"/>
        <w:b/>
        <w:i w:val="0"/>
        <w:sz w:val="20"/>
      </w:rPr>
    </w:lvl>
    <w:lvl w:ilvl="2" w:tentative="0">
      <w:start w:val="1"/>
      <w:numFmt w:val="none"/>
      <w:suff w:val="nothing"/>
      <w:lvlText w:val="%1表%2(续)"/>
      <w:lvlJc w:val="left"/>
      <w:pPr>
        <w:ind w:left="0" w:firstLine="0"/>
      </w:pPr>
      <w:rPr>
        <w:rFonts w:hint="eastAsia" w:ascii="宋体" w:hAnsi="Times New Roman" w:eastAsia="宋体"/>
        <w:b w:val="0"/>
        <w:i w:val="0"/>
        <w:sz w:val="18"/>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3969"/>
        </w:tabs>
        <w:ind w:left="3969" w:hanging="1418"/>
      </w:pPr>
      <w:rPr>
        <w:rFonts w:hint="eastAsia"/>
      </w:rPr>
    </w:lvl>
    <w:lvl w:ilvl="8" w:tentative="0">
      <w:start w:val="1"/>
      <w:numFmt w:val="decimal"/>
      <w:lvlText w:val="%1.%2.%3.%4.%5.%6.%7.%8.%9"/>
      <w:lvlJc w:val="left"/>
      <w:pPr>
        <w:tabs>
          <w:tab w:val="left" w:pos="4677"/>
        </w:tabs>
        <w:ind w:left="4677" w:hanging="1700"/>
      </w:pPr>
      <w:rPr>
        <w:rFonts w:hint="eastAsia"/>
      </w:rPr>
    </w:lvl>
  </w:abstractNum>
  <w:abstractNum w:abstractNumId="18">
    <w:nsid w:val="0A6C82DC"/>
    <w:multiLevelType w:val="multilevel"/>
    <w:tmpl w:val="0A6C82DC"/>
    <w:lvl w:ilvl="0" w:tentative="0">
      <w:start w:val="1"/>
      <w:numFmt w:val="decimal"/>
      <w:suff w:val="nothing"/>
      <w:lvlText w:val="%1"/>
      <w:lvlJc w:val="left"/>
      <w:pPr>
        <w:tabs>
          <w:tab w:val="left" w:pos="720"/>
        </w:tabs>
        <w:ind w:left="0" w:firstLine="0"/>
      </w:pPr>
      <w:rPr>
        <w:rFonts w:hint="default" w:ascii="宋体" w:hAnsi="宋体" w:eastAsia="宋体" w:cs="宋体"/>
        <w:b/>
        <w:i w:val="0"/>
        <w:sz w:val="21"/>
      </w:rPr>
    </w:lvl>
    <w:lvl w:ilvl="1" w:tentative="0">
      <w:start w:val="1"/>
      <w:numFmt w:val="decimal"/>
      <w:lvlText w:val="%1.%2"/>
      <w:lvlJc w:val="left"/>
      <w:pPr>
        <w:tabs>
          <w:tab w:val="left" w:pos="210"/>
        </w:tabs>
        <w:ind w:left="0" w:firstLine="0"/>
      </w:pPr>
    </w:lvl>
    <w:lvl w:ilvl="2" w:tentative="0">
      <w:start w:val="1"/>
      <w:numFmt w:val="decimal"/>
      <w:pStyle w:val="94"/>
      <w:lvlText w:val="%1.%2.%3"/>
      <w:lvlJc w:val="left"/>
      <w:pPr>
        <w:tabs>
          <w:tab w:val="left" w:pos="740"/>
        </w:tabs>
        <w:ind w:left="0" w:firstLine="0"/>
      </w:pPr>
      <w:rPr>
        <w:rFonts w:hint="default" w:ascii="黑体" w:hAnsi="黑体" w:eastAsia="黑体" w:cs="宋体"/>
        <w:b w:val="0"/>
        <w:i w:val="0"/>
        <w:sz w:val="21"/>
      </w:rPr>
    </w:lvl>
    <w:lvl w:ilvl="3" w:tentative="0">
      <w:start w:val="1"/>
      <w:numFmt w:val="decimal"/>
      <w:lvlText w:val="%1.%2.%3.%4"/>
      <w:lvlJc w:val="left"/>
      <w:pPr>
        <w:tabs>
          <w:tab w:val="left" w:pos="720"/>
        </w:tabs>
        <w:ind w:left="0" w:firstLine="0"/>
      </w:pPr>
      <w:rPr>
        <w:rFonts w:hint="default" w:ascii="宋体" w:hAnsi="宋体" w:eastAsia="宋体" w:cs="宋体"/>
        <w:b/>
        <w:i w:val="0"/>
        <w:sz w:val="21"/>
      </w:rPr>
    </w:lvl>
    <w:lvl w:ilvl="4" w:tentative="0">
      <w:start w:val="1"/>
      <w:numFmt w:val="decimal"/>
      <w:lvlText w:val="%2.%3.%4.%5"/>
      <w:lvlJc w:val="left"/>
      <w:pPr>
        <w:tabs>
          <w:tab w:val="left" w:pos="1080"/>
        </w:tabs>
        <w:ind w:left="0" w:firstLine="0"/>
      </w:pPr>
      <w:rPr>
        <w:rFonts w:hint="eastAsia" w:ascii="黑体" w:hAnsi="Times New Roman" w:eastAsia="黑体"/>
        <w:b/>
        <w:i w:val="0"/>
        <w:sz w:val="21"/>
      </w:rPr>
    </w:lvl>
    <w:lvl w:ilvl="5" w:tentative="0">
      <w:start w:val="1"/>
      <w:numFmt w:val="decimal"/>
      <w:lvlText w:val="%2.%3.%4.%5.%6"/>
      <w:lvlJc w:val="left"/>
      <w:pPr>
        <w:tabs>
          <w:tab w:val="left" w:pos="1021"/>
        </w:tabs>
        <w:ind w:left="1021" w:hanging="1021"/>
      </w:pPr>
      <w:rPr>
        <w:rFonts w:hint="eastAsia" w:ascii="黑体" w:hAnsi="Times New Roman" w:eastAsia="黑体"/>
        <w:b/>
        <w:i w:val="0"/>
        <w:sz w:val="21"/>
      </w:rPr>
    </w:lvl>
    <w:lvl w:ilvl="6" w:tentative="0">
      <w:start w:val="1"/>
      <w:numFmt w:val="decimal"/>
      <w:lvlText w:val="%2.%3.%4.%5.%6.%7"/>
      <w:lvlJc w:val="left"/>
      <w:pPr>
        <w:tabs>
          <w:tab w:val="left" w:pos="1440"/>
        </w:tabs>
        <w:ind w:left="0" w:firstLine="0"/>
      </w:pPr>
      <w:rPr>
        <w:rFonts w:hint="eastAsia" w:ascii="黑体" w:hAnsi="Times New Roman" w:eastAsia="黑体"/>
        <w:b/>
        <w:i w:val="0"/>
        <w:sz w:val="21"/>
      </w:rPr>
    </w:lvl>
    <w:lvl w:ilvl="7" w:tentative="0">
      <w:start w:val="1"/>
      <w:numFmt w:val="decimal"/>
      <w:lvlText w:val="图 %2.0.%5 -%8"/>
      <w:lvlJc w:val="left"/>
      <w:pPr>
        <w:tabs>
          <w:tab w:val="left" w:pos="1440"/>
        </w:tabs>
        <w:ind w:left="0" w:firstLine="0"/>
      </w:pPr>
      <w:rPr>
        <w:rFonts w:hint="eastAsia" w:ascii="黑体" w:eastAsia="黑体"/>
        <w:b/>
        <w:i w:val="0"/>
        <w:sz w:val="21"/>
      </w:rPr>
    </w:lvl>
    <w:lvl w:ilvl="8" w:tentative="0">
      <w:start w:val="1"/>
      <w:numFmt w:val="decimal"/>
      <w:lvlText w:val="      %9)"/>
      <w:lvlJc w:val="left"/>
      <w:pPr>
        <w:tabs>
          <w:tab w:val="left" w:pos="1080"/>
        </w:tabs>
        <w:ind w:left="0" w:firstLine="0"/>
      </w:pPr>
      <w:rPr>
        <w:rFonts w:hint="eastAsia" w:ascii="黑体" w:hAnsi="华文细黑" w:eastAsia="黑体"/>
        <w:b/>
        <w:i w:val="0"/>
        <w:sz w:val="21"/>
      </w:rPr>
    </w:lvl>
  </w:abstractNum>
  <w:abstractNum w:abstractNumId="19">
    <w:nsid w:val="0D10C81F"/>
    <w:multiLevelType w:val="multilevel"/>
    <w:tmpl w:val="0D10C81F"/>
    <w:lvl w:ilvl="0" w:tentative="0">
      <w:start w:val="1"/>
      <w:numFmt w:val="decimal"/>
      <w:suff w:val="nothing"/>
      <w:lvlText w:val="%1"/>
      <w:lvlJc w:val="left"/>
      <w:pPr>
        <w:tabs>
          <w:tab w:val="left" w:pos="720"/>
        </w:tabs>
        <w:ind w:left="0" w:firstLine="0"/>
      </w:pPr>
      <w:rPr>
        <w:rFonts w:hint="default" w:ascii="宋体" w:hAnsi="宋体" w:eastAsia="宋体" w:cs="宋体"/>
        <w:b/>
        <w:i w:val="0"/>
        <w:sz w:val="21"/>
      </w:rPr>
    </w:lvl>
    <w:lvl w:ilvl="1" w:tentative="0">
      <w:start w:val="1"/>
      <w:numFmt w:val="decimal"/>
      <w:lvlText w:val="%1.%2"/>
      <w:lvlJc w:val="left"/>
      <w:pPr>
        <w:tabs>
          <w:tab w:val="left" w:pos="420"/>
        </w:tabs>
        <w:ind w:left="0" w:firstLine="0"/>
      </w:pPr>
      <w:rPr>
        <w:rFonts w:hint="default" w:ascii="黑体" w:hAnsi="黑体" w:eastAsia="黑体" w:cs="宋体"/>
        <w:b w:val="0"/>
        <w:i w:val="0"/>
        <w:sz w:val="21"/>
      </w:rPr>
    </w:lvl>
    <w:lvl w:ilvl="2" w:tentative="0">
      <w:start w:val="1"/>
      <w:numFmt w:val="decimal"/>
      <w:pStyle w:val="122"/>
      <w:lvlText w:val="%1.%2.%3"/>
      <w:lvlJc w:val="left"/>
      <w:pPr>
        <w:tabs>
          <w:tab w:val="left" w:pos="720"/>
        </w:tabs>
        <w:ind w:left="0" w:firstLine="0"/>
      </w:pPr>
      <w:rPr>
        <w:rFonts w:hint="default" w:ascii="黑体" w:hAnsi="黑体" w:eastAsia="黑体" w:cs="宋体"/>
        <w:b w:val="0"/>
        <w:i w:val="0"/>
        <w:sz w:val="21"/>
      </w:rPr>
    </w:lvl>
    <w:lvl w:ilvl="3" w:tentative="0">
      <w:start w:val="1"/>
      <w:numFmt w:val="decimal"/>
      <w:pStyle w:val="98"/>
      <w:lvlText w:val="%1.%2.%3.%4"/>
      <w:lvlJc w:val="left"/>
      <w:pPr>
        <w:tabs>
          <w:tab w:val="left" w:pos="720"/>
        </w:tabs>
        <w:ind w:left="0" w:firstLine="0"/>
      </w:pPr>
      <w:rPr>
        <w:rFonts w:hint="default" w:ascii="宋体" w:hAnsi="宋体" w:eastAsia="宋体" w:cs="宋体"/>
        <w:b/>
        <w:i w:val="0"/>
        <w:sz w:val="21"/>
      </w:rPr>
    </w:lvl>
    <w:lvl w:ilvl="4" w:tentative="0">
      <w:start w:val="1"/>
      <w:numFmt w:val="decimal"/>
      <w:pStyle w:val="117"/>
      <w:lvlText w:val="%2.%3.%4.%5"/>
      <w:lvlJc w:val="left"/>
      <w:pPr>
        <w:tabs>
          <w:tab w:val="left" w:pos="1080"/>
        </w:tabs>
        <w:ind w:left="0" w:firstLine="0"/>
      </w:pPr>
      <w:rPr>
        <w:rFonts w:hint="eastAsia" w:ascii="黑体" w:hAnsi="Times New Roman" w:eastAsia="黑体"/>
        <w:b/>
        <w:i w:val="0"/>
        <w:sz w:val="21"/>
      </w:rPr>
    </w:lvl>
    <w:lvl w:ilvl="5" w:tentative="0">
      <w:start w:val="1"/>
      <w:numFmt w:val="decimal"/>
      <w:pStyle w:val="139"/>
      <w:lvlText w:val="%2.%3.%4.%5.%6"/>
      <w:lvlJc w:val="left"/>
      <w:pPr>
        <w:tabs>
          <w:tab w:val="left" w:pos="1021"/>
        </w:tabs>
        <w:ind w:left="1021" w:hanging="1021"/>
      </w:pPr>
      <w:rPr>
        <w:rFonts w:hint="eastAsia" w:ascii="黑体" w:hAnsi="Times New Roman" w:eastAsia="黑体"/>
        <w:b/>
        <w:i w:val="0"/>
        <w:sz w:val="21"/>
      </w:rPr>
    </w:lvl>
    <w:lvl w:ilvl="6" w:tentative="0">
      <w:start w:val="1"/>
      <w:numFmt w:val="decimal"/>
      <w:pStyle w:val="171"/>
      <w:lvlText w:val="%2.%3.%4.%5.%6.%7"/>
      <w:lvlJc w:val="left"/>
      <w:pPr>
        <w:tabs>
          <w:tab w:val="left" w:pos="1440"/>
        </w:tabs>
        <w:ind w:left="0" w:firstLine="0"/>
      </w:pPr>
      <w:rPr>
        <w:rFonts w:hint="eastAsia" w:ascii="黑体" w:hAnsi="Times New Roman" w:eastAsia="黑体"/>
        <w:b/>
        <w:i w:val="0"/>
        <w:sz w:val="21"/>
      </w:rPr>
    </w:lvl>
    <w:lvl w:ilvl="7" w:tentative="0">
      <w:start w:val="1"/>
      <w:numFmt w:val="decimal"/>
      <w:lvlText w:val="图 %2.0.%5 -%8"/>
      <w:lvlJc w:val="left"/>
      <w:pPr>
        <w:tabs>
          <w:tab w:val="left" w:pos="1440"/>
        </w:tabs>
        <w:ind w:left="0" w:firstLine="0"/>
      </w:pPr>
      <w:rPr>
        <w:rFonts w:hint="eastAsia" w:ascii="黑体" w:eastAsia="黑体"/>
        <w:b/>
        <w:i w:val="0"/>
        <w:sz w:val="21"/>
      </w:rPr>
    </w:lvl>
    <w:lvl w:ilvl="8" w:tentative="0">
      <w:start w:val="1"/>
      <w:numFmt w:val="decimal"/>
      <w:lvlText w:val="      %9)"/>
      <w:lvlJc w:val="left"/>
      <w:pPr>
        <w:tabs>
          <w:tab w:val="left" w:pos="1080"/>
        </w:tabs>
        <w:ind w:left="0" w:firstLine="0"/>
      </w:pPr>
      <w:rPr>
        <w:rFonts w:hint="eastAsia" w:ascii="黑体" w:hAnsi="华文细黑" w:eastAsia="黑体"/>
        <w:b/>
        <w:i w:val="0"/>
        <w:sz w:val="21"/>
      </w:rPr>
    </w:lvl>
  </w:abstractNum>
  <w:abstractNum w:abstractNumId="20">
    <w:nsid w:val="52303111"/>
    <w:multiLevelType w:val="multilevel"/>
    <w:tmpl w:val="52303111"/>
    <w:lvl w:ilvl="0" w:tentative="0">
      <w:start w:val="1"/>
      <w:numFmt w:val="none"/>
      <w:lvlText w:val="%1注"/>
      <w:lvlJc w:val="left"/>
      <w:pPr>
        <w:tabs>
          <w:tab w:val="left" w:pos="900"/>
        </w:tabs>
        <w:ind w:left="900" w:hanging="500"/>
      </w:pPr>
      <w:rPr>
        <w:rFonts w:hint="eastAsia" w:ascii="宋体" w:hAnsi="Times New Roman" w:eastAsia="宋体"/>
        <w:b w:val="0"/>
        <w:i w:val="0"/>
        <w:sz w:val="18"/>
      </w:rPr>
    </w:lvl>
    <w:lvl w:ilvl="1" w:tentative="0">
      <w:start w:val="1"/>
      <w:numFmt w:val="lowerLetter"/>
      <w:pStyle w:val="136"/>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C877988"/>
    <w:multiLevelType w:val="multilevel"/>
    <w:tmpl w:val="5C877988"/>
    <w:lvl w:ilvl="0" w:tentative="0">
      <w:start w:val="1"/>
      <w:numFmt w:val="chineseCountingThousand"/>
      <w:suff w:val="nothing"/>
      <w:lvlText w:val="第%1章  "/>
      <w:lvlJc w:val="left"/>
      <w:pPr>
        <w:ind w:left="0" w:firstLine="0"/>
      </w:pPr>
      <w:rPr>
        <w:rFonts w:hint="default" w:ascii="Times New Roman" w:hAnsi="Times New Roman" w:eastAsia="宋体"/>
        <w:b/>
        <w:i w:val="0"/>
        <w:sz w:val="36"/>
      </w:rPr>
    </w:lvl>
    <w:lvl w:ilvl="1" w:tentative="0">
      <w:start w:val="1"/>
      <w:numFmt w:val="decimal"/>
      <w:suff w:val="nothing"/>
      <w:lvlText w:val="第%2节  "/>
      <w:lvlJc w:val="left"/>
      <w:pPr>
        <w:ind w:left="0" w:firstLine="0"/>
      </w:pPr>
      <w:rPr>
        <w:rFonts w:hint="default" w:ascii="Times New Roman" w:hAnsi="Times New Roman" w:eastAsia="宋体"/>
        <w:b/>
        <w:i w:val="0"/>
        <w:sz w:val="28"/>
      </w:rPr>
    </w:lvl>
    <w:lvl w:ilvl="2" w:tentative="0">
      <w:start w:val="1"/>
      <w:numFmt w:val="chineseCountingThousand"/>
      <w:pStyle w:val="180"/>
      <w:suff w:val="nothing"/>
      <w:lvlText w:val="%3、"/>
      <w:lvlJc w:val="left"/>
      <w:pPr>
        <w:ind w:left="454" w:hanging="454"/>
      </w:pPr>
      <w:rPr>
        <w:rFonts w:hint="default" w:ascii="Times New Roman" w:hAnsi="Times New Roman" w:eastAsia="宋体"/>
        <w:sz w:val="21"/>
      </w:rPr>
    </w:lvl>
    <w:lvl w:ilvl="3" w:tentative="0">
      <w:start w:val="1"/>
      <w:numFmt w:val="decimal"/>
      <w:pStyle w:val="181"/>
      <w:suff w:val="nothing"/>
      <w:lvlText w:val="%4、"/>
      <w:lvlJc w:val="left"/>
      <w:pPr>
        <w:ind w:left="454" w:hanging="341"/>
      </w:pPr>
      <w:rPr>
        <w:rFonts w:hint="default" w:ascii="Times New Roman" w:hAnsi="Times New Roman" w:eastAsia="宋体"/>
        <w:b/>
        <w:i w:val="0"/>
        <w:sz w:val="21"/>
      </w:rPr>
    </w:lvl>
    <w:lvl w:ilvl="4" w:tentative="0">
      <w:start w:val="1"/>
      <w:numFmt w:val="decimal"/>
      <w:suff w:val="nothing"/>
      <w:lvlText w:val="（%5）"/>
      <w:lvlJc w:val="left"/>
      <w:pPr>
        <w:ind w:left="420" w:hanging="227"/>
      </w:pPr>
      <w:rPr>
        <w:rFonts w:hint="eastAsia"/>
        <w:b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5" w:tentative="0">
      <w:start w:val="1"/>
      <w:numFmt w:val="decimal"/>
      <w:suff w:val="nothing"/>
      <w:lvlText w:val="%6)  "/>
      <w:lvlJc w:val="left"/>
      <w:pPr>
        <w:ind w:left="340" w:firstLine="0"/>
      </w:pPr>
      <w:rPr>
        <w:rFonts w:hint="eastAsia"/>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2">
    <w:nsid w:val="63BC60F8"/>
    <w:multiLevelType w:val="multilevel"/>
    <w:tmpl w:val="63BC60F8"/>
    <w:lvl w:ilvl="0" w:tentative="0">
      <w:start w:val="1"/>
      <w:numFmt w:val="decimal"/>
      <w:pStyle w:val="97"/>
      <w:lvlText w:val="%1"/>
      <w:lvlJc w:val="left"/>
      <w:pPr>
        <w:tabs>
          <w:tab w:val="left" w:pos="720"/>
        </w:tabs>
        <w:ind w:left="0" w:firstLine="0"/>
      </w:pPr>
      <w:rPr>
        <w:rFonts w:hint="eastAsia"/>
      </w:rPr>
    </w:lvl>
    <w:lvl w:ilvl="1" w:tentative="0">
      <w:start w:val="1"/>
      <w:numFmt w:val="decimal"/>
      <w:pStyle w:val="96"/>
      <w:lvlText w:val="%1.%2"/>
      <w:lvlJc w:val="left"/>
      <w:pPr>
        <w:tabs>
          <w:tab w:val="left" w:pos="210"/>
        </w:tabs>
        <w:ind w:left="0" w:firstLine="0"/>
      </w:pPr>
      <w:rPr>
        <w:rFonts w:hint="default" w:ascii="黑体" w:hAnsi="黑体" w:eastAsia="黑体" w:cs="宋体"/>
        <w:b w:val="0"/>
        <w:i w:val="0"/>
        <w:sz w:val="21"/>
      </w:rPr>
    </w:lvl>
    <w:lvl w:ilvl="2" w:tentative="0">
      <w:start w:val="1"/>
      <w:numFmt w:val="decimal"/>
      <w:pStyle w:val="95"/>
      <w:lvlText w:val="%1.%2.%3"/>
      <w:lvlJc w:val="left"/>
      <w:pPr>
        <w:tabs>
          <w:tab w:val="left" w:pos="740"/>
        </w:tabs>
        <w:ind w:left="0" w:firstLine="0"/>
      </w:pPr>
    </w:lvl>
    <w:lvl w:ilvl="3" w:tentative="0">
      <w:start w:val="1"/>
      <w:numFmt w:val="decimal"/>
      <w:pStyle w:val="185"/>
      <w:lvlText w:val="%1.%2.%3.%4"/>
      <w:lvlJc w:val="left"/>
      <w:pPr>
        <w:tabs>
          <w:tab w:val="left" w:pos="720"/>
        </w:tabs>
        <w:ind w:left="0" w:firstLine="0"/>
      </w:pPr>
      <w:rPr>
        <w:rFonts w:hint="eastAsia"/>
      </w:rPr>
    </w:lvl>
    <w:lvl w:ilvl="4" w:tentative="0">
      <w:start w:val="1"/>
      <w:numFmt w:val="decimal"/>
      <w:lvlText w:val="%2.%3.%4.%5"/>
      <w:lvlJc w:val="left"/>
      <w:pPr>
        <w:tabs>
          <w:tab w:val="left" w:pos="1080"/>
        </w:tabs>
        <w:ind w:left="0" w:firstLine="0"/>
      </w:pPr>
      <w:rPr>
        <w:rFonts w:hint="eastAsia" w:ascii="黑体" w:hAnsi="Times New Roman" w:eastAsia="黑体"/>
        <w:b/>
        <w:i w:val="0"/>
        <w:sz w:val="21"/>
      </w:rPr>
    </w:lvl>
    <w:lvl w:ilvl="5" w:tentative="0">
      <w:start w:val="1"/>
      <w:numFmt w:val="decimal"/>
      <w:lvlText w:val="%2.%3.%4.%5.%6"/>
      <w:lvlJc w:val="left"/>
      <w:pPr>
        <w:tabs>
          <w:tab w:val="left" w:pos="1021"/>
        </w:tabs>
        <w:ind w:left="1021" w:hanging="1021"/>
      </w:pPr>
      <w:rPr>
        <w:rFonts w:hint="eastAsia" w:ascii="黑体" w:hAnsi="Times New Roman" w:eastAsia="黑体"/>
        <w:b/>
        <w:i w:val="0"/>
        <w:sz w:val="21"/>
      </w:rPr>
    </w:lvl>
    <w:lvl w:ilvl="6" w:tentative="0">
      <w:start w:val="1"/>
      <w:numFmt w:val="decimal"/>
      <w:lvlText w:val="%2.%3.%4.%5.%6.%7"/>
      <w:lvlJc w:val="left"/>
      <w:pPr>
        <w:tabs>
          <w:tab w:val="left" w:pos="1440"/>
        </w:tabs>
        <w:ind w:left="0" w:firstLine="0"/>
      </w:pPr>
      <w:rPr>
        <w:rFonts w:hint="eastAsia" w:ascii="黑体" w:hAnsi="Times New Roman" w:eastAsia="黑体"/>
        <w:b/>
        <w:i w:val="0"/>
        <w:sz w:val="21"/>
      </w:rPr>
    </w:lvl>
    <w:lvl w:ilvl="7" w:tentative="0">
      <w:start w:val="1"/>
      <w:numFmt w:val="decimal"/>
      <w:lvlText w:val="图 %2.0.%5 -%8"/>
      <w:lvlJc w:val="left"/>
      <w:pPr>
        <w:tabs>
          <w:tab w:val="left" w:pos="1440"/>
        </w:tabs>
        <w:ind w:left="0" w:firstLine="0"/>
      </w:pPr>
      <w:rPr>
        <w:rFonts w:hint="eastAsia" w:ascii="黑体" w:eastAsia="黑体"/>
        <w:b/>
        <w:i w:val="0"/>
        <w:sz w:val="21"/>
      </w:rPr>
    </w:lvl>
    <w:lvl w:ilvl="8" w:tentative="0">
      <w:start w:val="1"/>
      <w:numFmt w:val="decimal"/>
      <w:lvlText w:val="      %9)"/>
      <w:lvlJc w:val="left"/>
      <w:pPr>
        <w:tabs>
          <w:tab w:val="left" w:pos="1080"/>
        </w:tabs>
        <w:ind w:left="0" w:firstLine="0"/>
      </w:pPr>
      <w:rPr>
        <w:rFonts w:hint="eastAsia" w:ascii="黑体" w:hAnsi="华文细黑" w:eastAsia="黑体"/>
        <w:b/>
        <w:i w:val="0"/>
        <w:sz w:val="21"/>
      </w:rPr>
    </w:lvl>
  </w:abstractNum>
  <w:abstractNum w:abstractNumId="23">
    <w:nsid w:val="7DC71B06"/>
    <w:multiLevelType w:val="multilevel"/>
    <w:tmpl w:val="7DC71B06"/>
    <w:lvl w:ilvl="0" w:tentative="0">
      <w:start w:val="1"/>
      <w:numFmt w:val="decimal"/>
      <w:pStyle w:val="2"/>
      <w:lvlText w:val="%1"/>
      <w:lvlJc w:val="left"/>
      <w:pPr>
        <w:ind w:left="432" w:hanging="432"/>
      </w:pPr>
      <w:rPr>
        <w:rFonts w:hint="eastAsia"/>
      </w:rPr>
    </w:lvl>
    <w:lvl w:ilvl="1" w:tentative="0">
      <w:start w:val="1"/>
      <w:numFmt w:val="decimal"/>
      <w:pStyle w:val="3"/>
      <w:lvlText w:val="%1.%2"/>
      <w:lvlJc w:val="left"/>
      <w:pPr>
        <w:ind w:left="576" w:hanging="576"/>
      </w:pPr>
      <w:rPr>
        <w:b w:val="0"/>
        <w:bCs w:val="0"/>
      </w:rPr>
    </w:lvl>
    <w:lvl w:ilvl="2" w:tentative="0">
      <w:start w:val="1"/>
      <w:numFmt w:val="decimal"/>
      <w:pStyle w:val="4"/>
      <w:lvlText w:val="%1.%2.%3"/>
      <w:lvlJc w:val="left"/>
      <w:pPr>
        <w:ind w:left="720" w:hanging="720"/>
      </w:pPr>
      <w:rPr>
        <w:rFonts w:ascii="黑体" w:hAnsi="黑体" w:eastAsia="黑体"/>
      </w:rPr>
    </w:lvl>
    <w:lvl w:ilvl="3" w:tentative="0">
      <w:start w:val="1"/>
      <w:numFmt w:val="decimal"/>
      <w:pStyle w:val="195"/>
      <w:lvlText w:val="%1.%2.%3.%4"/>
      <w:lvlJc w:val="left"/>
      <w:pPr>
        <w:ind w:left="864" w:hanging="864"/>
      </w:pPr>
      <w:rPr>
        <w:rFonts w:hint="default" w:ascii="黑体" w:hAnsi="黑体" w:eastAsia="黑体" w:cs="Times New Roman"/>
      </w:rPr>
    </w:lvl>
    <w:lvl w:ilvl="4" w:tentative="0">
      <w:start w:val="1"/>
      <w:numFmt w:val="decimal"/>
      <w:pStyle w:val="6"/>
      <w:lvlText w:val="%1.%2.%3.%4.%5"/>
      <w:lvlJc w:val="left"/>
      <w:pPr>
        <w:ind w:left="1008" w:hanging="1008"/>
      </w:pPr>
    </w:lvl>
    <w:lvl w:ilvl="5" w:tentative="0">
      <w:start w:val="1"/>
      <w:numFmt w:val="decimal"/>
      <w:pStyle w:val="7"/>
      <w:lvlText w:val="%1.%2.%3.%4.%5.%6"/>
      <w:lvlJc w:val="left"/>
      <w:pPr>
        <w:ind w:left="1152" w:hanging="1152"/>
      </w:pPr>
    </w:lvl>
    <w:lvl w:ilvl="6" w:tentative="0">
      <w:start w:val="1"/>
      <w:numFmt w:val="decimal"/>
      <w:pStyle w:val="8"/>
      <w:lvlText w:val="%1.%2.%3.%4.%5.%6.%7"/>
      <w:lvlJc w:val="left"/>
      <w:pPr>
        <w:ind w:left="1296" w:hanging="1296"/>
      </w:pPr>
    </w:lvl>
    <w:lvl w:ilvl="7" w:tentative="0">
      <w:start w:val="1"/>
      <w:numFmt w:val="decimal"/>
      <w:pStyle w:val="9"/>
      <w:lvlText w:val="%1.%2.%3.%4.%5.%6.%7.%8"/>
      <w:lvlJc w:val="left"/>
      <w:pPr>
        <w:ind w:left="1440" w:hanging="1440"/>
      </w:pPr>
    </w:lvl>
    <w:lvl w:ilvl="8" w:tentative="0">
      <w:start w:val="1"/>
      <w:numFmt w:val="decimal"/>
      <w:pStyle w:val="10"/>
      <w:lvlText w:val="%1.%2.%3.%4.%5.%6.%7.%8.%9"/>
      <w:lvlJc w:val="left"/>
      <w:pPr>
        <w:ind w:left="1584" w:hanging="1584"/>
      </w:pPr>
    </w:lvl>
  </w:abstractNum>
  <w:num w:numId="1">
    <w:abstractNumId w:val="23"/>
  </w:num>
  <w:num w:numId="2">
    <w:abstractNumId w:val="14"/>
  </w:num>
  <w:num w:numId="3">
    <w:abstractNumId w:val="18"/>
  </w:num>
  <w:num w:numId="4">
    <w:abstractNumId w:val="22"/>
  </w:num>
  <w:num w:numId="5">
    <w:abstractNumId w:val="19"/>
  </w:num>
  <w:num w:numId="6">
    <w:abstractNumId w:val="3"/>
  </w:num>
  <w:num w:numId="7">
    <w:abstractNumId w:val="11"/>
  </w:num>
  <w:num w:numId="8">
    <w:abstractNumId w:val="15"/>
  </w:num>
  <w:num w:numId="9">
    <w:abstractNumId w:val="7"/>
  </w:num>
  <w:num w:numId="10">
    <w:abstractNumId w:val="6"/>
  </w:num>
  <w:num w:numId="11">
    <w:abstractNumId w:val="2"/>
  </w:num>
  <w:num w:numId="12">
    <w:abstractNumId w:val="1"/>
  </w:num>
  <w:num w:numId="13">
    <w:abstractNumId w:val="12"/>
  </w:num>
  <w:num w:numId="14">
    <w:abstractNumId w:val="20"/>
  </w:num>
  <w:num w:numId="15">
    <w:abstractNumId w:val="16"/>
  </w:num>
  <w:num w:numId="16">
    <w:abstractNumId w:val="10"/>
  </w:num>
  <w:num w:numId="17">
    <w:abstractNumId w:val="0"/>
  </w:num>
  <w:num w:numId="18">
    <w:abstractNumId w:val="9"/>
  </w:num>
  <w:num w:numId="19">
    <w:abstractNumId w:val="5"/>
  </w:num>
  <w:num w:numId="20">
    <w:abstractNumId w:val="4"/>
  </w:num>
  <w:num w:numId="21">
    <w:abstractNumId w:val="17"/>
  </w:num>
  <w:num w:numId="22">
    <w:abstractNumId w:val="8"/>
  </w:num>
  <w:num w:numId="23">
    <w:abstractNumId w:val="13"/>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noPunctuationKerning w:val="1"/>
  <w:characterSpacingControl w:val="doNotCompress"/>
  <w:footnotePr>
    <w:footnote w:id="0"/>
    <w:footnote w:id="1"/>
  </w:footnotePr>
  <w:endnotePr>
    <w:endnote w:id="0"/>
    <w:endnote w:id="1"/>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VhYmE5MzcxNzMzNWU0MzhkNGYxN2E4YjU5ZmJkNjkifQ=="/>
  </w:docVars>
  <w:rsids>
    <w:rsidRoot w:val="009313EB"/>
    <w:rsid w:val="0000206F"/>
    <w:rsid w:val="000062AE"/>
    <w:rsid w:val="000163F0"/>
    <w:rsid w:val="000167D8"/>
    <w:rsid w:val="00016886"/>
    <w:rsid w:val="00017CB7"/>
    <w:rsid w:val="000310E6"/>
    <w:rsid w:val="00031DF5"/>
    <w:rsid w:val="000438EB"/>
    <w:rsid w:val="00046618"/>
    <w:rsid w:val="0004794E"/>
    <w:rsid w:val="00056F97"/>
    <w:rsid w:val="00063458"/>
    <w:rsid w:val="000664C9"/>
    <w:rsid w:val="00067F80"/>
    <w:rsid w:val="00092D0D"/>
    <w:rsid w:val="000947E0"/>
    <w:rsid w:val="00096297"/>
    <w:rsid w:val="000A1DC4"/>
    <w:rsid w:val="000A1F98"/>
    <w:rsid w:val="000A3661"/>
    <w:rsid w:val="000A4047"/>
    <w:rsid w:val="000A4F0F"/>
    <w:rsid w:val="000A5A09"/>
    <w:rsid w:val="000B2E35"/>
    <w:rsid w:val="000C298A"/>
    <w:rsid w:val="000D119C"/>
    <w:rsid w:val="000D33AA"/>
    <w:rsid w:val="000D379F"/>
    <w:rsid w:val="000D4E5E"/>
    <w:rsid w:val="000E49B7"/>
    <w:rsid w:val="000E7670"/>
    <w:rsid w:val="000F6019"/>
    <w:rsid w:val="00104154"/>
    <w:rsid w:val="001051B1"/>
    <w:rsid w:val="00106E0C"/>
    <w:rsid w:val="00114992"/>
    <w:rsid w:val="00114D68"/>
    <w:rsid w:val="00116236"/>
    <w:rsid w:val="001201E3"/>
    <w:rsid w:val="00120FF8"/>
    <w:rsid w:val="00127C08"/>
    <w:rsid w:val="00137385"/>
    <w:rsid w:val="00141954"/>
    <w:rsid w:val="00144D0F"/>
    <w:rsid w:val="00157317"/>
    <w:rsid w:val="001667C2"/>
    <w:rsid w:val="00173CBA"/>
    <w:rsid w:val="001833D3"/>
    <w:rsid w:val="0018704C"/>
    <w:rsid w:val="00190895"/>
    <w:rsid w:val="0019185B"/>
    <w:rsid w:val="00192D5C"/>
    <w:rsid w:val="001A38AE"/>
    <w:rsid w:val="001A7DC8"/>
    <w:rsid w:val="001B0C80"/>
    <w:rsid w:val="001B3DAD"/>
    <w:rsid w:val="001B4B4E"/>
    <w:rsid w:val="001C1121"/>
    <w:rsid w:val="001C79DC"/>
    <w:rsid w:val="001D2405"/>
    <w:rsid w:val="001D741E"/>
    <w:rsid w:val="001D7B6A"/>
    <w:rsid w:val="001D7F03"/>
    <w:rsid w:val="001E05A5"/>
    <w:rsid w:val="001E3266"/>
    <w:rsid w:val="001E44B0"/>
    <w:rsid w:val="001F7530"/>
    <w:rsid w:val="00200A77"/>
    <w:rsid w:val="00202C0E"/>
    <w:rsid w:val="00204B86"/>
    <w:rsid w:val="002055B4"/>
    <w:rsid w:val="002060DB"/>
    <w:rsid w:val="00220694"/>
    <w:rsid w:val="0022653D"/>
    <w:rsid w:val="00230EFA"/>
    <w:rsid w:val="002411C2"/>
    <w:rsid w:val="00242602"/>
    <w:rsid w:val="00255632"/>
    <w:rsid w:val="00257D67"/>
    <w:rsid w:val="00262EB0"/>
    <w:rsid w:val="00263CE8"/>
    <w:rsid w:val="00266675"/>
    <w:rsid w:val="0027037F"/>
    <w:rsid w:val="00286756"/>
    <w:rsid w:val="002875EE"/>
    <w:rsid w:val="00287C5B"/>
    <w:rsid w:val="00295FD3"/>
    <w:rsid w:val="00296AF5"/>
    <w:rsid w:val="002A5099"/>
    <w:rsid w:val="002A565E"/>
    <w:rsid w:val="002D0DBC"/>
    <w:rsid w:val="002D21C8"/>
    <w:rsid w:val="002D28A5"/>
    <w:rsid w:val="002D3865"/>
    <w:rsid w:val="002D3A92"/>
    <w:rsid w:val="002D4163"/>
    <w:rsid w:val="002E0183"/>
    <w:rsid w:val="002E585F"/>
    <w:rsid w:val="002E7DEB"/>
    <w:rsid w:val="003004DE"/>
    <w:rsid w:val="0032253A"/>
    <w:rsid w:val="003272A4"/>
    <w:rsid w:val="00331CF7"/>
    <w:rsid w:val="003422BE"/>
    <w:rsid w:val="0034507F"/>
    <w:rsid w:val="00361753"/>
    <w:rsid w:val="003700AC"/>
    <w:rsid w:val="003710DB"/>
    <w:rsid w:val="00375BA2"/>
    <w:rsid w:val="003776E6"/>
    <w:rsid w:val="0038176E"/>
    <w:rsid w:val="00384CFB"/>
    <w:rsid w:val="003872A7"/>
    <w:rsid w:val="00387D01"/>
    <w:rsid w:val="00390E18"/>
    <w:rsid w:val="00391A9E"/>
    <w:rsid w:val="0039554E"/>
    <w:rsid w:val="003B4E69"/>
    <w:rsid w:val="003C0111"/>
    <w:rsid w:val="003C2344"/>
    <w:rsid w:val="003D0205"/>
    <w:rsid w:val="003D2327"/>
    <w:rsid w:val="003D40B0"/>
    <w:rsid w:val="003D442B"/>
    <w:rsid w:val="003D624D"/>
    <w:rsid w:val="003E3134"/>
    <w:rsid w:val="003E437D"/>
    <w:rsid w:val="003F1935"/>
    <w:rsid w:val="003F2097"/>
    <w:rsid w:val="003F218D"/>
    <w:rsid w:val="003F24A4"/>
    <w:rsid w:val="004163E1"/>
    <w:rsid w:val="004203F5"/>
    <w:rsid w:val="00422DB8"/>
    <w:rsid w:val="00425498"/>
    <w:rsid w:val="00426BE4"/>
    <w:rsid w:val="00442C8B"/>
    <w:rsid w:val="004710A1"/>
    <w:rsid w:val="00483BBA"/>
    <w:rsid w:val="00487242"/>
    <w:rsid w:val="004A1D51"/>
    <w:rsid w:val="004A1F89"/>
    <w:rsid w:val="004A3A6E"/>
    <w:rsid w:val="004A7D1C"/>
    <w:rsid w:val="004B31BD"/>
    <w:rsid w:val="004B4303"/>
    <w:rsid w:val="004C1DCE"/>
    <w:rsid w:val="004C305A"/>
    <w:rsid w:val="004C4578"/>
    <w:rsid w:val="004C64D6"/>
    <w:rsid w:val="004C6F95"/>
    <w:rsid w:val="004D02DB"/>
    <w:rsid w:val="004D6BB1"/>
    <w:rsid w:val="004F0251"/>
    <w:rsid w:val="004F16B8"/>
    <w:rsid w:val="004F3118"/>
    <w:rsid w:val="004F5DB4"/>
    <w:rsid w:val="00502583"/>
    <w:rsid w:val="00512CC3"/>
    <w:rsid w:val="005155B2"/>
    <w:rsid w:val="00520E7A"/>
    <w:rsid w:val="00525A88"/>
    <w:rsid w:val="00531577"/>
    <w:rsid w:val="005402D5"/>
    <w:rsid w:val="00552C1F"/>
    <w:rsid w:val="005561FB"/>
    <w:rsid w:val="005662D3"/>
    <w:rsid w:val="00567E73"/>
    <w:rsid w:val="005700CB"/>
    <w:rsid w:val="0057024E"/>
    <w:rsid w:val="00570AF1"/>
    <w:rsid w:val="00575ACD"/>
    <w:rsid w:val="00585E56"/>
    <w:rsid w:val="00586F82"/>
    <w:rsid w:val="00597924"/>
    <w:rsid w:val="005A3E0B"/>
    <w:rsid w:val="005B234B"/>
    <w:rsid w:val="005C6F20"/>
    <w:rsid w:val="005E4265"/>
    <w:rsid w:val="005E4446"/>
    <w:rsid w:val="005F318D"/>
    <w:rsid w:val="005F631E"/>
    <w:rsid w:val="005F6E03"/>
    <w:rsid w:val="00602D4B"/>
    <w:rsid w:val="0060340D"/>
    <w:rsid w:val="00605277"/>
    <w:rsid w:val="00611763"/>
    <w:rsid w:val="0061252D"/>
    <w:rsid w:val="006143EB"/>
    <w:rsid w:val="00626C8D"/>
    <w:rsid w:val="00627AC5"/>
    <w:rsid w:val="006330AF"/>
    <w:rsid w:val="006345FF"/>
    <w:rsid w:val="006439E3"/>
    <w:rsid w:val="00652515"/>
    <w:rsid w:val="00656C78"/>
    <w:rsid w:val="00657AF0"/>
    <w:rsid w:val="0066106D"/>
    <w:rsid w:val="0066509E"/>
    <w:rsid w:val="00671C1D"/>
    <w:rsid w:val="006723BB"/>
    <w:rsid w:val="00672A78"/>
    <w:rsid w:val="00676906"/>
    <w:rsid w:val="00677387"/>
    <w:rsid w:val="0067771F"/>
    <w:rsid w:val="00685E34"/>
    <w:rsid w:val="00696E11"/>
    <w:rsid w:val="006A70EB"/>
    <w:rsid w:val="006B04F4"/>
    <w:rsid w:val="006B77E4"/>
    <w:rsid w:val="006C0A90"/>
    <w:rsid w:val="006C3537"/>
    <w:rsid w:val="006C6AAD"/>
    <w:rsid w:val="006D2861"/>
    <w:rsid w:val="006E3AA3"/>
    <w:rsid w:val="006E595B"/>
    <w:rsid w:val="006E5C3C"/>
    <w:rsid w:val="00707559"/>
    <w:rsid w:val="00710833"/>
    <w:rsid w:val="007139BC"/>
    <w:rsid w:val="00720912"/>
    <w:rsid w:val="00726370"/>
    <w:rsid w:val="00730956"/>
    <w:rsid w:val="007473D0"/>
    <w:rsid w:val="00750893"/>
    <w:rsid w:val="007544A9"/>
    <w:rsid w:val="007548BC"/>
    <w:rsid w:val="00754F28"/>
    <w:rsid w:val="00756414"/>
    <w:rsid w:val="00766684"/>
    <w:rsid w:val="00786767"/>
    <w:rsid w:val="00791564"/>
    <w:rsid w:val="007915C1"/>
    <w:rsid w:val="00791E4F"/>
    <w:rsid w:val="00796BCC"/>
    <w:rsid w:val="007977F7"/>
    <w:rsid w:val="007A1E2F"/>
    <w:rsid w:val="007A3DF4"/>
    <w:rsid w:val="007A4C5B"/>
    <w:rsid w:val="007A5357"/>
    <w:rsid w:val="007B1588"/>
    <w:rsid w:val="007B56CA"/>
    <w:rsid w:val="007B7EBA"/>
    <w:rsid w:val="007C64E1"/>
    <w:rsid w:val="007D1D20"/>
    <w:rsid w:val="007D3173"/>
    <w:rsid w:val="007D5DF5"/>
    <w:rsid w:val="007D7BA8"/>
    <w:rsid w:val="007E010A"/>
    <w:rsid w:val="007E36A6"/>
    <w:rsid w:val="007E7437"/>
    <w:rsid w:val="007E7FDE"/>
    <w:rsid w:val="007F3C3A"/>
    <w:rsid w:val="007F5E4E"/>
    <w:rsid w:val="007F7F4F"/>
    <w:rsid w:val="00800669"/>
    <w:rsid w:val="00801188"/>
    <w:rsid w:val="008060E3"/>
    <w:rsid w:val="008145C0"/>
    <w:rsid w:val="00814E08"/>
    <w:rsid w:val="00817914"/>
    <w:rsid w:val="00820800"/>
    <w:rsid w:val="00830C30"/>
    <w:rsid w:val="00835AE2"/>
    <w:rsid w:val="00840BB7"/>
    <w:rsid w:val="00846A6F"/>
    <w:rsid w:val="00847200"/>
    <w:rsid w:val="008547BB"/>
    <w:rsid w:val="00861789"/>
    <w:rsid w:val="008639B4"/>
    <w:rsid w:val="00865309"/>
    <w:rsid w:val="008660F2"/>
    <w:rsid w:val="008669C8"/>
    <w:rsid w:val="008746A6"/>
    <w:rsid w:val="00874C37"/>
    <w:rsid w:val="00875819"/>
    <w:rsid w:val="008905AD"/>
    <w:rsid w:val="008A0E0C"/>
    <w:rsid w:val="008A7785"/>
    <w:rsid w:val="008B2FC6"/>
    <w:rsid w:val="008B64FE"/>
    <w:rsid w:val="008C1C0E"/>
    <w:rsid w:val="008D3B2F"/>
    <w:rsid w:val="008E3A11"/>
    <w:rsid w:val="008E468F"/>
    <w:rsid w:val="008E5D19"/>
    <w:rsid w:val="008F30DD"/>
    <w:rsid w:val="008F4C2D"/>
    <w:rsid w:val="008F5687"/>
    <w:rsid w:val="00904823"/>
    <w:rsid w:val="00904983"/>
    <w:rsid w:val="00905A49"/>
    <w:rsid w:val="00915209"/>
    <w:rsid w:val="00922923"/>
    <w:rsid w:val="00926FD1"/>
    <w:rsid w:val="0092736D"/>
    <w:rsid w:val="00927AF9"/>
    <w:rsid w:val="009313EB"/>
    <w:rsid w:val="00950926"/>
    <w:rsid w:val="00952FDF"/>
    <w:rsid w:val="0095657B"/>
    <w:rsid w:val="009650C4"/>
    <w:rsid w:val="00973F4F"/>
    <w:rsid w:val="009757DF"/>
    <w:rsid w:val="0097632B"/>
    <w:rsid w:val="00984209"/>
    <w:rsid w:val="00991795"/>
    <w:rsid w:val="009A0168"/>
    <w:rsid w:val="009A0639"/>
    <w:rsid w:val="009A18F4"/>
    <w:rsid w:val="009B56B1"/>
    <w:rsid w:val="009D2AF7"/>
    <w:rsid w:val="009D5186"/>
    <w:rsid w:val="009E106E"/>
    <w:rsid w:val="009E1B8B"/>
    <w:rsid w:val="009F1B70"/>
    <w:rsid w:val="009F2997"/>
    <w:rsid w:val="00A01D44"/>
    <w:rsid w:val="00A02E6D"/>
    <w:rsid w:val="00A05054"/>
    <w:rsid w:val="00A12E2A"/>
    <w:rsid w:val="00A20210"/>
    <w:rsid w:val="00A35D3E"/>
    <w:rsid w:val="00A36B53"/>
    <w:rsid w:val="00A420ED"/>
    <w:rsid w:val="00A43EA1"/>
    <w:rsid w:val="00A44984"/>
    <w:rsid w:val="00A52009"/>
    <w:rsid w:val="00A56201"/>
    <w:rsid w:val="00A62EA9"/>
    <w:rsid w:val="00A729FC"/>
    <w:rsid w:val="00A736DB"/>
    <w:rsid w:val="00A80F89"/>
    <w:rsid w:val="00A811B0"/>
    <w:rsid w:val="00A82EFF"/>
    <w:rsid w:val="00A90644"/>
    <w:rsid w:val="00A91464"/>
    <w:rsid w:val="00AA0CA4"/>
    <w:rsid w:val="00AA0CCB"/>
    <w:rsid w:val="00AA1FDB"/>
    <w:rsid w:val="00AA7D20"/>
    <w:rsid w:val="00AB048E"/>
    <w:rsid w:val="00AB133D"/>
    <w:rsid w:val="00AB738B"/>
    <w:rsid w:val="00AB7C35"/>
    <w:rsid w:val="00AB7E09"/>
    <w:rsid w:val="00AC13D7"/>
    <w:rsid w:val="00AC2126"/>
    <w:rsid w:val="00AC2638"/>
    <w:rsid w:val="00AC4DAD"/>
    <w:rsid w:val="00AD47F9"/>
    <w:rsid w:val="00AE0A87"/>
    <w:rsid w:val="00AE32AE"/>
    <w:rsid w:val="00AE62BE"/>
    <w:rsid w:val="00AE737D"/>
    <w:rsid w:val="00AF0328"/>
    <w:rsid w:val="00AF211A"/>
    <w:rsid w:val="00B040AB"/>
    <w:rsid w:val="00B14BF0"/>
    <w:rsid w:val="00B16F41"/>
    <w:rsid w:val="00B21049"/>
    <w:rsid w:val="00B22231"/>
    <w:rsid w:val="00B26EDB"/>
    <w:rsid w:val="00B35761"/>
    <w:rsid w:val="00B450A6"/>
    <w:rsid w:val="00B465A9"/>
    <w:rsid w:val="00B46898"/>
    <w:rsid w:val="00B544BB"/>
    <w:rsid w:val="00B6368D"/>
    <w:rsid w:val="00B65DFA"/>
    <w:rsid w:val="00B6717D"/>
    <w:rsid w:val="00B86961"/>
    <w:rsid w:val="00B92FED"/>
    <w:rsid w:val="00B94B2F"/>
    <w:rsid w:val="00BA2D2D"/>
    <w:rsid w:val="00BA4E0A"/>
    <w:rsid w:val="00BB75CD"/>
    <w:rsid w:val="00BC360A"/>
    <w:rsid w:val="00BC3A4F"/>
    <w:rsid w:val="00BD2A67"/>
    <w:rsid w:val="00BD502D"/>
    <w:rsid w:val="00BD5A51"/>
    <w:rsid w:val="00BD5F0A"/>
    <w:rsid w:val="00BD637C"/>
    <w:rsid w:val="00BD76A5"/>
    <w:rsid w:val="00BD78A7"/>
    <w:rsid w:val="00BD7F29"/>
    <w:rsid w:val="00BE1E9F"/>
    <w:rsid w:val="00BE2B0C"/>
    <w:rsid w:val="00BE3758"/>
    <w:rsid w:val="00BE4EE2"/>
    <w:rsid w:val="00BF4411"/>
    <w:rsid w:val="00C1533F"/>
    <w:rsid w:val="00C307C8"/>
    <w:rsid w:val="00C41940"/>
    <w:rsid w:val="00C47B5F"/>
    <w:rsid w:val="00C55ED8"/>
    <w:rsid w:val="00C6006E"/>
    <w:rsid w:val="00C62259"/>
    <w:rsid w:val="00C70F7D"/>
    <w:rsid w:val="00C71672"/>
    <w:rsid w:val="00C72B3A"/>
    <w:rsid w:val="00C735CC"/>
    <w:rsid w:val="00C80CC8"/>
    <w:rsid w:val="00C831B3"/>
    <w:rsid w:val="00C97775"/>
    <w:rsid w:val="00CA30C1"/>
    <w:rsid w:val="00CC4CA8"/>
    <w:rsid w:val="00CC5DB3"/>
    <w:rsid w:val="00CD32FB"/>
    <w:rsid w:val="00CD3997"/>
    <w:rsid w:val="00CE565B"/>
    <w:rsid w:val="00CF0D76"/>
    <w:rsid w:val="00CF7AD1"/>
    <w:rsid w:val="00D001DA"/>
    <w:rsid w:val="00D07271"/>
    <w:rsid w:val="00D1005E"/>
    <w:rsid w:val="00D20D16"/>
    <w:rsid w:val="00D35FF1"/>
    <w:rsid w:val="00D41F5A"/>
    <w:rsid w:val="00D42BC1"/>
    <w:rsid w:val="00D45966"/>
    <w:rsid w:val="00D5375A"/>
    <w:rsid w:val="00D547B0"/>
    <w:rsid w:val="00D6759E"/>
    <w:rsid w:val="00D74A82"/>
    <w:rsid w:val="00D74AEC"/>
    <w:rsid w:val="00D75A0C"/>
    <w:rsid w:val="00D7753A"/>
    <w:rsid w:val="00D77F2E"/>
    <w:rsid w:val="00D83768"/>
    <w:rsid w:val="00D85060"/>
    <w:rsid w:val="00D85920"/>
    <w:rsid w:val="00D94121"/>
    <w:rsid w:val="00D94A4B"/>
    <w:rsid w:val="00D94FA6"/>
    <w:rsid w:val="00D97D68"/>
    <w:rsid w:val="00DA2564"/>
    <w:rsid w:val="00DB1ADB"/>
    <w:rsid w:val="00DB39AC"/>
    <w:rsid w:val="00DB6C60"/>
    <w:rsid w:val="00DC3D28"/>
    <w:rsid w:val="00DC6EB7"/>
    <w:rsid w:val="00DD4358"/>
    <w:rsid w:val="00DD4777"/>
    <w:rsid w:val="00DD56DE"/>
    <w:rsid w:val="00DE00F7"/>
    <w:rsid w:val="00DE1922"/>
    <w:rsid w:val="00DE4B7E"/>
    <w:rsid w:val="00DE7C70"/>
    <w:rsid w:val="00DF33F7"/>
    <w:rsid w:val="00DF47E1"/>
    <w:rsid w:val="00DF5F4F"/>
    <w:rsid w:val="00DF6896"/>
    <w:rsid w:val="00DF7800"/>
    <w:rsid w:val="00E03072"/>
    <w:rsid w:val="00E031FF"/>
    <w:rsid w:val="00E0681F"/>
    <w:rsid w:val="00E1133F"/>
    <w:rsid w:val="00E14584"/>
    <w:rsid w:val="00E22AF2"/>
    <w:rsid w:val="00E24BAF"/>
    <w:rsid w:val="00E24BCC"/>
    <w:rsid w:val="00E2789D"/>
    <w:rsid w:val="00E30FAF"/>
    <w:rsid w:val="00E33926"/>
    <w:rsid w:val="00E45D95"/>
    <w:rsid w:val="00E477CD"/>
    <w:rsid w:val="00E500B9"/>
    <w:rsid w:val="00E546C0"/>
    <w:rsid w:val="00E56697"/>
    <w:rsid w:val="00E63210"/>
    <w:rsid w:val="00E82D5D"/>
    <w:rsid w:val="00E958E4"/>
    <w:rsid w:val="00E95901"/>
    <w:rsid w:val="00EB0F09"/>
    <w:rsid w:val="00EB29B3"/>
    <w:rsid w:val="00EB37C0"/>
    <w:rsid w:val="00EC04EC"/>
    <w:rsid w:val="00EC7EFB"/>
    <w:rsid w:val="00ED0337"/>
    <w:rsid w:val="00ED0CF5"/>
    <w:rsid w:val="00ED18B8"/>
    <w:rsid w:val="00ED2F32"/>
    <w:rsid w:val="00ED33EA"/>
    <w:rsid w:val="00ED7A20"/>
    <w:rsid w:val="00EE1937"/>
    <w:rsid w:val="00EE1BDB"/>
    <w:rsid w:val="00EE6FBE"/>
    <w:rsid w:val="00EF0D09"/>
    <w:rsid w:val="00F0064E"/>
    <w:rsid w:val="00F05E58"/>
    <w:rsid w:val="00F219F5"/>
    <w:rsid w:val="00F22EB8"/>
    <w:rsid w:val="00F33820"/>
    <w:rsid w:val="00F37254"/>
    <w:rsid w:val="00F4188A"/>
    <w:rsid w:val="00F4437A"/>
    <w:rsid w:val="00F5368B"/>
    <w:rsid w:val="00F5502A"/>
    <w:rsid w:val="00F62782"/>
    <w:rsid w:val="00F63164"/>
    <w:rsid w:val="00F7286F"/>
    <w:rsid w:val="00F836AA"/>
    <w:rsid w:val="00F90D89"/>
    <w:rsid w:val="00F93FC9"/>
    <w:rsid w:val="00F94BD0"/>
    <w:rsid w:val="00F97F99"/>
    <w:rsid w:val="00FA1269"/>
    <w:rsid w:val="00FA2B5C"/>
    <w:rsid w:val="00FA3D03"/>
    <w:rsid w:val="00FA5BC7"/>
    <w:rsid w:val="00FB4059"/>
    <w:rsid w:val="00FB7E40"/>
    <w:rsid w:val="00FC4E05"/>
    <w:rsid w:val="00FD0C44"/>
    <w:rsid w:val="00FD53D2"/>
    <w:rsid w:val="00FE4074"/>
    <w:rsid w:val="00FF138B"/>
    <w:rsid w:val="059F4E0F"/>
    <w:rsid w:val="124F64A1"/>
    <w:rsid w:val="130816E2"/>
    <w:rsid w:val="13601A07"/>
    <w:rsid w:val="16023D65"/>
    <w:rsid w:val="17BB3400"/>
    <w:rsid w:val="17DF73E0"/>
    <w:rsid w:val="18D4377B"/>
    <w:rsid w:val="191465DF"/>
    <w:rsid w:val="1CF00F8F"/>
    <w:rsid w:val="250F6688"/>
    <w:rsid w:val="263E5A5A"/>
    <w:rsid w:val="27E608AA"/>
    <w:rsid w:val="2A897AC7"/>
    <w:rsid w:val="2C35005E"/>
    <w:rsid w:val="31634C13"/>
    <w:rsid w:val="32290949"/>
    <w:rsid w:val="3A00614F"/>
    <w:rsid w:val="3C2564BB"/>
    <w:rsid w:val="3C9951AE"/>
    <w:rsid w:val="40774C91"/>
    <w:rsid w:val="474F40C2"/>
    <w:rsid w:val="4A015677"/>
    <w:rsid w:val="4B985D41"/>
    <w:rsid w:val="4BE40D01"/>
    <w:rsid w:val="599D5E47"/>
    <w:rsid w:val="5AFC7193"/>
    <w:rsid w:val="5D153E38"/>
    <w:rsid w:val="628C1E57"/>
    <w:rsid w:val="683C7B6C"/>
    <w:rsid w:val="6E0242B5"/>
    <w:rsid w:val="73970D97"/>
    <w:rsid w:val="7AAB1B4F"/>
    <w:rsid w:val="7B154BAF"/>
    <w:rsid w:val="7E501B81"/>
    <w:rsid w:val="7E913B17"/>
    <w:rsid w:val="7FC932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qFormat="1" w:unhideWhenUsed="0" w:uiPriority="0" w:semiHidden="0"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iPriority="99"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
    <w:qFormat/>
    <w:uiPriority w:val="9"/>
    <w:pPr>
      <w:keepNext/>
      <w:keepLines/>
      <w:numPr>
        <w:ilvl w:val="0"/>
        <w:numId w:val="1"/>
      </w:numPr>
      <w:ind w:left="0" w:firstLine="0" w:firstLineChars="0"/>
      <w:outlineLvl w:val="0"/>
    </w:pPr>
    <w:rPr>
      <w:rFonts w:ascii="黑体" w:hAnsi="黑体" w:eastAsia="黑体" w:cs="黑体"/>
      <w:kern w:val="44"/>
      <w:sz w:val="24"/>
      <w:szCs w:val="44"/>
    </w:rPr>
  </w:style>
  <w:style w:type="paragraph" w:styleId="3">
    <w:name w:val="heading 2"/>
    <w:basedOn w:val="1"/>
    <w:next w:val="1"/>
    <w:link w:val="60"/>
    <w:unhideWhenUsed/>
    <w:qFormat/>
    <w:uiPriority w:val="0"/>
    <w:pPr>
      <w:keepNext/>
      <w:keepLines/>
      <w:numPr>
        <w:ilvl w:val="1"/>
        <w:numId w:val="1"/>
      </w:numPr>
      <w:ind w:left="0" w:firstLine="0" w:firstLineChars="0"/>
      <w:outlineLvl w:val="1"/>
    </w:pPr>
    <w:rPr>
      <w:rFonts w:ascii="黑体" w:hAnsi="黑体" w:eastAsia="黑体" w:cstheme="majorBidi"/>
      <w:bCs/>
      <w:szCs w:val="32"/>
    </w:rPr>
  </w:style>
  <w:style w:type="paragraph" w:styleId="4">
    <w:name w:val="heading 3"/>
    <w:basedOn w:val="1"/>
    <w:next w:val="1"/>
    <w:link w:val="61"/>
    <w:unhideWhenUsed/>
    <w:qFormat/>
    <w:uiPriority w:val="0"/>
    <w:pPr>
      <w:keepNext/>
      <w:keepLines/>
      <w:numPr>
        <w:ilvl w:val="2"/>
        <w:numId w:val="1"/>
      </w:numPr>
      <w:ind w:left="0" w:firstLine="0" w:firstLineChars="0"/>
      <w:outlineLvl w:val="2"/>
    </w:pPr>
    <w:rPr>
      <w:rFonts w:ascii="黑体" w:hAnsi="黑体" w:eastAsia="黑体"/>
      <w:bCs/>
      <w:szCs w:val="32"/>
    </w:rPr>
  </w:style>
  <w:style w:type="paragraph" w:styleId="5">
    <w:name w:val="heading 4"/>
    <w:basedOn w:val="1"/>
    <w:next w:val="1"/>
    <w:link w:val="62"/>
    <w:unhideWhenUsed/>
    <w:qFormat/>
    <w:uiPriority w:val="0"/>
    <w:pPr>
      <w:keepNext/>
      <w:keepLines/>
      <w:ind w:left="864" w:firstLine="0" w:firstLineChars="0"/>
      <w:outlineLvl w:val="3"/>
    </w:pPr>
    <w:rPr>
      <w:rFonts w:eastAsiaTheme="majorEastAsia" w:cstheme="majorBidi"/>
      <w:bCs/>
      <w:szCs w:val="28"/>
    </w:rPr>
  </w:style>
  <w:style w:type="paragraph" w:styleId="6">
    <w:name w:val="heading 5"/>
    <w:basedOn w:val="1"/>
    <w:next w:val="1"/>
    <w:link w:val="63"/>
    <w:unhideWhenUsed/>
    <w:qFormat/>
    <w:uiPriority w:val="0"/>
    <w:pPr>
      <w:keepNext/>
      <w:keepLines/>
      <w:numPr>
        <w:ilvl w:val="4"/>
        <w:numId w:val="1"/>
      </w:numPr>
      <w:spacing w:before="280" w:after="290" w:line="376" w:lineRule="auto"/>
      <w:ind w:firstLine="0" w:firstLineChars="0"/>
      <w:outlineLvl w:val="4"/>
    </w:pPr>
    <w:rPr>
      <w:b/>
      <w:bCs/>
      <w:sz w:val="28"/>
      <w:szCs w:val="28"/>
    </w:rPr>
  </w:style>
  <w:style w:type="paragraph" w:styleId="7">
    <w:name w:val="heading 6"/>
    <w:basedOn w:val="1"/>
    <w:next w:val="1"/>
    <w:link w:val="64"/>
    <w:unhideWhenUsed/>
    <w:qFormat/>
    <w:uiPriority w:val="0"/>
    <w:pPr>
      <w:keepNext/>
      <w:keepLines/>
      <w:numPr>
        <w:ilvl w:val="5"/>
        <w:numId w:val="1"/>
      </w:numPr>
      <w:spacing w:before="240" w:after="64" w:line="320" w:lineRule="auto"/>
      <w:ind w:firstLine="0" w:firstLineChars="0"/>
      <w:outlineLvl w:val="5"/>
    </w:pPr>
    <w:rPr>
      <w:rFonts w:asciiTheme="majorHAnsi" w:hAnsiTheme="majorHAnsi" w:eastAsiaTheme="majorEastAsia" w:cstheme="majorBidi"/>
      <w:b/>
      <w:bCs/>
      <w:sz w:val="24"/>
    </w:rPr>
  </w:style>
  <w:style w:type="paragraph" w:styleId="8">
    <w:name w:val="heading 7"/>
    <w:basedOn w:val="1"/>
    <w:next w:val="1"/>
    <w:link w:val="65"/>
    <w:unhideWhenUsed/>
    <w:qFormat/>
    <w:uiPriority w:val="0"/>
    <w:pPr>
      <w:keepNext/>
      <w:keepLines/>
      <w:numPr>
        <w:ilvl w:val="6"/>
        <w:numId w:val="1"/>
      </w:numPr>
      <w:spacing w:before="240" w:after="64" w:line="320" w:lineRule="auto"/>
      <w:ind w:firstLine="0" w:firstLineChars="0"/>
      <w:outlineLvl w:val="6"/>
    </w:pPr>
    <w:rPr>
      <w:b/>
      <w:bCs/>
      <w:sz w:val="24"/>
    </w:rPr>
  </w:style>
  <w:style w:type="paragraph" w:styleId="9">
    <w:name w:val="heading 8"/>
    <w:basedOn w:val="1"/>
    <w:next w:val="1"/>
    <w:link w:val="66"/>
    <w:unhideWhenUsed/>
    <w:qFormat/>
    <w:uiPriority w:val="0"/>
    <w:pPr>
      <w:keepNext/>
      <w:keepLines/>
      <w:numPr>
        <w:ilvl w:val="7"/>
        <w:numId w:val="1"/>
      </w:numPr>
      <w:spacing w:before="240" w:after="64" w:line="320" w:lineRule="auto"/>
      <w:ind w:firstLine="0" w:firstLineChars="0"/>
      <w:outlineLvl w:val="7"/>
    </w:pPr>
    <w:rPr>
      <w:rFonts w:asciiTheme="majorHAnsi" w:hAnsiTheme="majorHAnsi" w:eastAsiaTheme="majorEastAsia" w:cstheme="majorBidi"/>
      <w:sz w:val="24"/>
    </w:rPr>
  </w:style>
  <w:style w:type="paragraph" w:styleId="10">
    <w:name w:val="heading 9"/>
    <w:basedOn w:val="1"/>
    <w:next w:val="1"/>
    <w:link w:val="67"/>
    <w:unhideWhenUsed/>
    <w:qFormat/>
    <w:uiPriority w:val="0"/>
    <w:pPr>
      <w:keepNext/>
      <w:keepLines/>
      <w:numPr>
        <w:ilvl w:val="8"/>
        <w:numId w:val="1"/>
      </w:numPr>
      <w:spacing w:before="240" w:after="64" w:line="320" w:lineRule="auto"/>
      <w:ind w:firstLine="0" w:firstLineChars="0"/>
      <w:outlineLvl w:val="8"/>
    </w:pPr>
    <w:rPr>
      <w:rFonts w:asciiTheme="majorHAnsi" w:hAnsiTheme="majorHAnsi" w:eastAsiaTheme="majorEastAsia" w:cstheme="majorBidi"/>
      <w:szCs w:val="21"/>
    </w:rPr>
  </w:style>
  <w:style w:type="character" w:default="1" w:styleId="39">
    <w:name w:val="Default Paragraph Font"/>
    <w:semiHidden/>
    <w:unhideWhenUsed/>
    <w:qFormat/>
    <w:uiPriority w:val="1"/>
  </w:style>
  <w:style w:type="table" w:default="1" w:styleId="37">
    <w:name w:val="Normal Table"/>
    <w:semiHidden/>
    <w:unhideWhenUsed/>
    <w:uiPriority w:val="99"/>
    <w:tblPr>
      <w:tblCellMar>
        <w:top w:w="0" w:type="dxa"/>
        <w:left w:w="108" w:type="dxa"/>
        <w:bottom w:w="0" w:type="dxa"/>
        <w:right w:w="108" w:type="dxa"/>
      </w:tblCellMar>
    </w:tblPr>
  </w:style>
  <w:style w:type="paragraph" w:styleId="11">
    <w:name w:val="toc 7"/>
    <w:basedOn w:val="12"/>
    <w:next w:val="1"/>
    <w:qFormat/>
    <w:uiPriority w:val="39"/>
    <w:pPr>
      <w:ind w:left="1260"/>
    </w:pPr>
  </w:style>
  <w:style w:type="paragraph" w:styleId="12">
    <w:name w:val="toc 6"/>
    <w:basedOn w:val="13"/>
    <w:next w:val="1"/>
    <w:qFormat/>
    <w:uiPriority w:val="39"/>
    <w:pPr>
      <w:ind w:left="1050"/>
    </w:pPr>
  </w:style>
  <w:style w:type="paragraph" w:styleId="13">
    <w:name w:val="toc 5"/>
    <w:basedOn w:val="14"/>
    <w:next w:val="1"/>
    <w:qFormat/>
    <w:uiPriority w:val="39"/>
    <w:pPr>
      <w:ind w:left="840"/>
    </w:pPr>
  </w:style>
  <w:style w:type="paragraph" w:styleId="14">
    <w:name w:val="toc 4"/>
    <w:basedOn w:val="15"/>
    <w:next w:val="1"/>
    <w:qFormat/>
    <w:uiPriority w:val="39"/>
    <w:pPr>
      <w:ind w:left="630"/>
    </w:pPr>
    <w:rPr>
      <w:i w:val="0"/>
      <w:iCs w:val="0"/>
      <w:sz w:val="18"/>
      <w:szCs w:val="18"/>
    </w:rPr>
  </w:style>
  <w:style w:type="paragraph" w:styleId="15">
    <w:name w:val="toc 3"/>
    <w:basedOn w:val="1"/>
    <w:next w:val="1"/>
    <w:unhideWhenUsed/>
    <w:qFormat/>
    <w:uiPriority w:val="39"/>
    <w:pPr>
      <w:ind w:left="420"/>
      <w:jc w:val="left"/>
    </w:pPr>
    <w:rPr>
      <w:rFonts w:asciiTheme="minorHAnsi" w:hAnsiTheme="minorHAnsi" w:cstheme="minorHAnsi"/>
      <w:i/>
      <w:iCs/>
      <w:sz w:val="20"/>
      <w:szCs w:val="20"/>
    </w:rPr>
  </w:style>
  <w:style w:type="paragraph" w:styleId="16">
    <w:name w:val="caption"/>
    <w:basedOn w:val="1"/>
    <w:next w:val="1"/>
    <w:qFormat/>
    <w:uiPriority w:val="0"/>
    <w:pPr>
      <w:ind w:firstLine="420"/>
    </w:pPr>
    <w:rPr>
      <w:rFonts w:ascii="宋体" w:hAnsi="Arial" w:cs="宋体"/>
      <w:szCs w:val="21"/>
      <w:lang w:val="zh-CN"/>
    </w:rPr>
  </w:style>
  <w:style w:type="paragraph" w:styleId="17">
    <w:name w:val="Document Map"/>
    <w:basedOn w:val="1"/>
    <w:link w:val="56"/>
    <w:unhideWhenUsed/>
    <w:qFormat/>
    <w:uiPriority w:val="0"/>
    <w:rPr>
      <w:rFonts w:ascii="宋体"/>
      <w:sz w:val="18"/>
      <w:szCs w:val="18"/>
    </w:rPr>
  </w:style>
  <w:style w:type="paragraph" w:styleId="18">
    <w:name w:val="annotation text"/>
    <w:basedOn w:val="1"/>
    <w:link w:val="71"/>
    <w:qFormat/>
    <w:uiPriority w:val="99"/>
    <w:pPr>
      <w:ind w:firstLine="420"/>
      <w:jc w:val="left"/>
    </w:pPr>
    <w:rPr>
      <w:rFonts w:cs="宋体"/>
      <w:szCs w:val="21"/>
      <w:lang w:val="zh-CN"/>
    </w:rPr>
  </w:style>
  <w:style w:type="paragraph" w:styleId="19">
    <w:name w:val="Body Text Indent"/>
    <w:basedOn w:val="1"/>
    <w:link w:val="69"/>
    <w:unhideWhenUsed/>
    <w:qFormat/>
    <w:uiPriority w:val="99"/>
    <w:pPr>
      <w:spacing w:after="120"/>
      <w:ind w:left="420" w:leftChars="200" w:firstLine="420"/>
    </w:pPr>
    <w:rPr>
      <w:rFonts w:cs="宋体"/>
      <w:szCs w:val="21"/>
      <w:lang w:val="zh-CN"/>
    </w:rPr>
  </w:style>
  <w:style w:type="paragraph" w:styleId="20">
    <w:name w:val="HTML Address"/>
    <w:basedOn w:val="1"/>
    <w:link w:val="72"/>
    <w:qFormat/>
    <w:uiPriority w:val="0"/>
    <w:pPr>
      <w:ind w:firstLine="420"/>
    </w:pPr>
    <w:rPr>
      <w:rFonts w:cs="宋体"/>
      <w:i/>
      <w:szCs w:val="21"/>
      <w:lang w:val="zh-CN"/>
    </w:rPr>
  </w:style>
  <w:style w:type="paragraph" w:styleId="21">
    <w:name w:val="Plain Text"/>
    <w:basedOn w:val="1"/>
    <w:link w:val="73"/>
    <w:qFormat/>
    <w:uiPriority w:val="0"/>
    <w:pPr>
      <w:ind w:firstLine="420"/>
    </w:pPr>
    <w:rPr>
      <w:rFonts w:ascii="宋体" w:hAnsi="Courier New" w:cs="宋体"/>
      <w:szCs w:val="21"/>
      <w:lang w:val="zh-CN"/>
    </w:rPr>
  </w:style>
  <w:style w:type="paragraph" w:styleId="22">
    <w:name w:val="toc 8"/>
    <w:basedOn w:val="11"/>
    <w:next w:val="1"/>
    <w:qFormat/>
    <w:uiPriority w:val="39"/>
    <w:pPr>
      <w:ind w:left="1470"/>
    </w:pPr>
  </w:style>
  <w:style w:type="paragraph" w:styleId="23">
    <w:name w:val="Date"/>
    <w:basedOn w:val="1"/>
    <w:next w:val="1"/>
    <w:link w:val="74"/>
    <w:unhideWhenUsed/>
    <w:qFormat/>
    <w:uiPriority w:val="99"/>
    <w:pPr>
      <w:ind w:left="100" w:leftChars="2500" w:firstLine="420"/>
    </w:pPr>
    <w:rPr>
      <w:rFonts w:cs="宋体"/>
      <w:szCs w:val="21"/>
      <w:lang w:val="zh-CN"/>
    </w:rPr>
  </w:style>
  <w:style w:type="paragraph" w:styleId="24">
    <w:name w:val="Balloon Text"/>
    <w:basedOn w:val="1"/>
    <w:link w:val="68"/>
    <w:unhideWhenUsed/>
    <w:qFormat/>
    <w:uiPriority w:val="99"/>
    <w:rPr>
      <w:sz w:val="18"/>
      <w:szCs w:val="18"/>
    </w:rPr>
  </w:style>
  <w:style w:type="paragraph" w:styleId="25">
    <w:name w:val="footer"/>
    <w:basedOn w:val="1"/>
    <w:link w:val="58"/>
    <w:unhideWhenUsed/>
    <w:qFormat/>
    <w:uiPriority w:val="99"/>
    <w:pPr>
      <w:tabs>
        <w:tab w:val="center" w:pos="4153"/>
        <w:tab w:val="right" w:pos="8306"/>
      </w:tabs>
      <w:snapToGrid w:val="0"/>
      <w:jc w:val="left"/>
    </w:pPr>
    <w:rPr>
      <w:sz w:val="18"/>
      <w:szCs w:val="18"/>
    </w:rPr>
  </w:style>
  <w:style w:type="paragraph" w:styleId="26">
    <w:name w:val="header"/>
    <w:basedOn w:val="1"/>
    <w:link w:val="57"/>
    <w:unhideWhenUsed/>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39"/>
    <w:pPr>
      <w:spacing w:before="120" w:after="120"/>
      <w:jc w:val="left"/>
    </w:pPr>
    <w:rPr>
      <w:rFonts w:asciiTheme="minorHAnsi" w:hAnsiTheme="minorHAnsi" w:cstheme="minorHAnsi"/>
      <w:b/>
      <w:bCs/>
      <w:caps/>
      <w:sz w:val="20"/>
      <w:szCs w:val="20"/>
    </w:rPr>
  </w:style>
  <w:style w:type="paragraph" w:styleId="28">
    <w:name w:val="footnote text"/>
    <w:basedOn w:val="1"/>
    <w:link w:val="75"/>
    <w:qFormat/>
    <w:uiPriority w:val="0"/>
    <w:pPr>
      <w:snapToGrid w:val="0"/>
      <w:ind w:left="400" w:leftChars="200" w:hanging="200" w:hangingChars="200"/>
      <w:jc w:val="left"/>
    </w:pPr>
    <w:rPr>
      <w:rFonts w:cs="宋体"/>
      <w:sz w:val="18"/>
      <w:szCs w:val="21"/>
      <w:lang w:val="zh-CN"/>
    </w:rPr>
  </w:style>
  <w:style w:type="paragraph" w:styleId="29">
    <w:name w:val="table of figures"/>
    <w:basedOn w:val="1"/>
    <w:next w:val="1"/>
    <w:qFormat/>
    <w:uiPriority w:val="0"/>
    <w:pPr>
      <w:ind w:firstLine="420"/>
    </w:pPr>
    <w:rPr>
      <w:rFonts w:cs="宋体"/>
      <w:szCs w:val="21"/>
      <w:lang w:val="zh-CN"/>
    </w:rPr>
  </w:style>
  <w:style w:type="paragraph" w:styleId="30">
    <w:name w:val="toc 2"/>
    <w:basedOn w:val="1"/>
    <w:next w:val="1"/>
    <w:unhideWhenUsed/>
    <w:qFormat/>
    <w:uiPriority w:val="39"/>
    <w:pPr>
      <w:ind w:left="210"/>
      <w:jc w:val="left"/>
    </w:pPr>
    <w:rPr>
      <w:rFonts w:asciiTheme="minorHAnsi" w:hAnsiTheme="minorHAnsi" w:cstheme="minorHAnsi"/>
      <w:smallCaps/>
      <w:sz w:val="20"/>
      <w:szCs w:val="20"/>
    </w:rPr>
  </w:style>
  <w:style w:type="paragraph" w:styleId="31">
    <w:name w:val="toc 9"/>
    <w:basedOn w:val="22"/>
    <w:next w:val="1"/>
    <w:qFormat/>
    <w:uiPriority w:val="39"/>
    <w:pPr>
      <w:ind w:left="1680"/>
    </w:pPr>
  </w:style>
  <w:style w:type="paragraph" w:styleId="32">
    <w:name w:val="HTML Preformatted"/>
    <w:basedOn w:val="1"/>
    <w:link w:val="76"/>
    <w:qFormat/>
    <w:uiPriority w:val="0"/>
    <w:pPr>
      <w:ind w:firstLine="420"/>
    </w:pPr>
    <w:rPr>
      <w:rFonts w:ascii="Courier New" w:hAnsi="Courier New" w:cs="宋体"/>
      <w:sz w:val="20"/>
      <w:szCs w:val="21"/>
      <w:lang w:val="zh-CN"/>
    </w:rPr>
  </w:style>
  <w:style w:type="paragraph" w:styleId="33">
    <w:name w:val="Normal (Web)"/>
    <w:basedOn w:val="1"/>
    <w:semiHidden/>
    <w:unhideWhenUsed/>
    <w:qFormat/>
    <w:uiPriority w:val="99"/>
    <w:pPr>
      <w:widowControl/>
      <w:spacing w:before="100" w:beforeAutospacing="1" w:after="100" w:afterAutospacing="1" w:line="240" w:lineRule="auto"/>
      <w:ind w:firstLine="0" w:firstLineChars="0"/>
      <w:jc w:val="left"/>
    </w:pPr>
    <w:rPr>
      <w:rFonts w:ascii="宋体" w:hAnsi="宋体" w:cs="宋体"/>
      <w:kern w:val="0"/>
      <w:sz w:val="24"/>
    </w:rPr>
  </w:style>
  <w:style w:type="paragraph" w:styleId="34">
    <w:name w:val="Title"/>
    <w:basedOn w:val="1"/>
    <w:link w:val="77"/>
    <w:qFormat/>
    <w:uiPriority w:val="0"/>
    <w:pPr>
      <w:spacing w:before="240" w:after="60"/>
      <w:ind w:firstLine="420"/>
      <w:jc w:val="center"/>
      <w:outlineLvl w:val="0"/>
    </w:pPr>
    <w:rPr>
      <w:rFonts w:ascii="Arial" w:hAnsi="Arial" w:cs="宋体"/>
      <w:b/>
      <w:sz w:val="32"/>
      <w:szCs w:val="21"/>
      <w:lang w:val="zh-CN"/>
    </w:rPr>
  </w:style>
  <w:style w:type="paragraph" w:styleId="35">
    <w:name w:val="annotation subject"/>
    <w:basedOn w:val="18"/>
    <w:next w:val="18"/>
    <w:link w:val="78"/>
    <w:qFormat/>
    <w:uiPriority w:val="0"/>
    <w:rPr>
      <w:b/>
    </w:rPr>
  </w:style>
  <w:style w:type="paragraph" w:styleId="36">
    <w:name w:val="Body Text First Indent 2"/>
    <w:basedOn w:val="19"/>
    <w:link w:val="70"/>
    <w:unhideWhenUsed/>
    <w:qFormat/>
    <w:uiPriority w:val="99"/>
  </w:style>
  <w:style w:type="table" w:styleId="38">
    <w:name w:val="Table Grid"/>
    <w:basedOn w:val="37"/>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22"/>
    <w:rPr>
      <w:b/>
      <w:bCs/>
    </w:rPr>
  </w:style>
  <w:style w:type="character" w:styleId="41">
    <w:name w:val="page number"/>
    <w:qFormat/>
    <w:uiPriority w:val="0"/>
    <w:rPr>
      <w:rFonts w:ascii="Times New Roman" w:hAnsi="Times New Roman" w:eastAsia="宋体"/>
      <w:sz w:val="18"/>
    </w:rPr>
  </w:style>
  <w:style w:type="character" w:styleId="42">
    <w:name w:val="Emphasis"/>
    <w:qFormat/>
    <w:uiPriority w:val="20"/>
    <w:rPr>
      <w:i/>
      <w:iCs/>
    </w:rPr>
  </w:style>
  <w:style w:type="character" w:styleId="43">
    <w:name w:val="HTML Definition"/>
    <w:qFormat/>
    <w:uiPriority w:val="0"/>
    <w:rPr>
      <w:i/>
    </w:rPr>
  </w:style>
  <w:style w:type="character" w:styleId="44">
    <w:name w:val="HTML Typewriter"/>
    <w:qFormat/>
    <w:uiPriority w:val="0"/>
    <w:rPr>
      <w:rFonts w:ascii="Courier New" w:hAnsi="Courier New"/>
      <w:sz w:val="20"/>
    </w:rPr>
  </w:style>
  <w:style w:type="character" w:styleId="45">
    <w:name w:val="HTML Acronym"/>
    <w:qFormat/>
    <w:uiPriority w:val="0"/>
  </w:style>
  <w:style w:type="character" w:styleId="46">
    <w:name w:val="HTML Variable"/>
    <w:qFormat/>
    <w:uiPriority w:val="0"/>
    <w:rPr>
      <w:i/>
    </w:rPr>
  </w:style>
  <w:style w:type="character" w:styleId="47">
    <w:name w:val="Hyperlink"/>
    <w:qFormat/>
    <w:uiPriority w:val="99"/>
    <w:rPr>
      <w:color w:val="0000FF"/>
      <w:u w:val="single"/>
    </w:rPr>
  </w:style>
  <w:style w:type="character" w:styleId="48">
    <w:name w:val="HTML Code"/>
    <w:qFormat/>
    <w:uiPriority w:val="0"/>
    <w:rPr>
      <w:rFonts w:ascii="Courier New" w:hAnsi="Courier New"/>
      <w:sz w:val="20"/>
    </w:rPr>
  </w:style>
  <w:style w:type="character" w:styleId="49">
    <w:name w:val="annotation reference"/>
    <w:qFormat/>
    <w:uiPriority w:val="99"/>
    <w:rPr>
      <w:sz w:val="21"/>
    </w:rPr>
  </w:style>
  <w:style w:type="character" w:styleId="50">
    <w:name w:val="HTML Cite"/>
    <w:qFormat/>
    <w:uiPriority w:val="0"/>
    <w:rPr>
      <w:i/>
    </w:rPr>
  </w:style>
  <w:style w:type="character" w:styleId="51">
    <w:name w:val="footnote reference"/>
    <w:qFormat/>
    <w:uiPriority w:val="0"/>
    <w:rPr>
      <w:vertAlign w:val="superscript"/>
    </w:rPr>
  </w:style>
  <w:style w:type="character" w:styleId="52">
    <w:name w:val="HTML Keyboard"/>
    <w:qFormat/>
    <w:uiPriority w:val="0"/>
    <w:rPr>
      <w:rFonts w:ascii="Courier New" w:hAnsi="Courier New"/>
      <w:sz w:val="20"/>
    </w:rPr>
  </w:style>
  <w:style w:type="character" w:styleId="53">
    <w:name w:val="HTML Sample"/>
    <w:qFormat/>
    <w:uiPriority w:val="0"/>
    <w:rPr>
      <w:rFonts w:ascii="Courier New" w:hAnsi="Courier New"/>
    </w:rPr>
  </w:style>
  <w:style w:type="character" w:customStyle="1" w:styleId="54">
    <w:name w:val="标题 1 字符"/>
    <w:basedOn w:val="39"/>
    <w:link w:val="2"/>
    <w:qFormat/>
    <w:uiPriority w:val="9"/>
    <w:rPr>
      <w:rFonts w:ascii="黑体" w:hAnsi="黑体" w:eastAsia="黑体" w:cs="黑体"/>
      <w:kern w:val="44"/>
      <w:sz w:val="24"/>
      <w:szCs w:val="44"/>
    </w:rPr>
  </w:style>
  <w:style w:type="paragraph" w:customStyle="1" w:styleId="55">
    <w:name w:val="Char Char Char1 Char Char"/>
    <w:basedOn w:val="17"/>
    <w:qFormat/>
    <w:uiPriority w:val="0"/>
    <w:pPr>
      <w:shd w:val="clear" w:color="auto" w:fill="000080"/>
      <w:adjustRightInd w:val="0"/>
      <w:spacing w:line="436" w:lineRule="exact"/>
      <w:ind w:left="357"/>
      <w:jc w:val="left"/>
      <w:outlineLvl w:val="3"/>
    </w:pPr>
    <w:rPr>
      <w:rFonts w:ascii="Tahoma" w:hAnsi="Tahoma"/>
      <w:b/>
      <w:sz w:val="24"/>
      <w:szCs w:val="24"/>
    </w:rPr>
  </w:style>
  <w:style w:type="character" w:customStyle="1" w:styleId="56">
    <w:name w:val="文档结构图 字符"/>
    <w:basedOn w:val="39"/>
    <w:link w:val="17"/>
    <w:qFormat/>
    <w:uiPriority w:val="0"/>
    <w:rPr>
      <w:rFonts w:ascii="宋体" w:hAnsi="Times New Roman" w:eastAsia="宋体" w:cs="Times New Roman"/>
      <w:sz w:val="18"/>
      <w:szCs w:val="18"/>
    </w:rPr>
  </w:style>
  <w:style w:type="character" w:customStyle="1" w:styleId="57">
    <w:name w:val="页眉 字符"/>
    <w:basedOn w:val="39"/>
    <w:link w:val="26"/>
    <w:qFormat/>
    <w:uiPriority w:val="99"/>
    <w:rPr>
      <w:rFonts w:ascii="Times New Roman" w:hAnsi="Times New Roman" w:eastAsia="宋体" w:cs="Times New Roman"/>
      <w:sz w:val="18"/>
      <w:szCs w:val="18"/>
    </w:rPr>
  </w:style>
  <w:style w:type="character" w:customStyle="1" w:styleId="58">
    <w:name w:val="页脚 字符"/>
    <w:basedOn w:val="39"/>
    <w:link w:val="25"/>
    <w:qFormat/>
    <w:uiPriority w:val="99"/>
    <w:rPr>
      <w:rFonts w:ascii="Times New Roman" w:hAnsi="Times New Roman" w:eastAsia="宋体" w:cs="Times New Roman"/>
      <w:sz w:val="18"/>
      <w:szCs w:val="18"/>
    </w:rPr>
  </w:style>
  <w:style w:type="paragraph" w:styleId="59">
    <w:name w:val="List Paragraph"/>
    <w:basedOn w:val="1"/>
    <w:unhideWhenUsed/>
    <w:qFormat/>
    <w:uiPriority w:val="99"/>
    <w:pPr>
      <w:ind w:firstLine="420"/>
    </w:pPr>
  </w:style>
  <w:style w:type="character" w:customStyle="1" w:styleId="60">
    <w:name w:val="标题 2 字符"/>
    <w:basedOn w:val="39"/>
    <w:link w:val="3"/>
    <w:qFormat/>
    <w:uiPriority w:val="0"/>
    <w:rPr>
      <w:rFonts w:ascii="黑体" w:hAnsi="黑体" w:eastAsia="黑体" w:cstheme="majorBidi"/>
      <w:bCs/>
      <w:kern w:val="2"/>
      <w:sz w:val="21"/>
      <w:szCs w:val="32"/>
    </w:rPr>
  </w:style>
  <w:style w:type="character" w:customStyle="1" w:styleId="61">
    <w:name w:val="标题 3 字符"/>
    <w:basedOn w:val="39"/>
    <w:link w:val="4"/>
    <w:qFormat/>
    <w:uiPriority w:val="0"/>
    <w:rPr>
      <w:rFonts w:ascii="黑体" w:hAnsi="黑体" w:eastAsia="黑体"/>
      <w:bCs/>
      <w:kern w:val="2"/>
      <w:sz w:val="21"/>
      <w:szCs w:val="32"/>
    </w:rPr>
  </w:style>
  <w:style w:type="character" w:customStyle="1" w:styleId="62">
    <w:name w:val="标题 4 字符"/>
    <w:basedOn w:val="39"/>
    <w:link w:val="5"/>
    <w:qFormat/>
    <w:uiPriority w:val="0"/>
    <w:rPr>
      <w:rFonts w:eastAsiaTheme="majorEastAsia" w:cstheme="majorBidi"/>
      <w:bCs/>
      <w:kern w:val="2"/>
      <w:sz w:val="21"/>
      <w:szCs w:val="28"/>
    </w:rPr>
  </w:style>
  <w:style w:type="character" w:customStyle="1" w:styleId="63">
    <w:name w:val="标题 5 字符"/>
    <w:basedOn w:val="39"/>
    <w:link w:val="6"/>
    <w:qFormat/>
    <w:uiPriority w:val="0"/>
    <w:rPr>
      <w:rFonts w:ascii="Times New Roman" w:hAnsi="Times New Roman" w:eastAsia="宋体" w:cs="Times New Roman"/>
      <w:b/>
      <w:bCs/>
      <w:kern w:val="2"/>
      <w:sz w:val="28"/>
      <w:szCs w:val="28"/>
    </w:rPr>
  </w:style>
  <w:style w:type="character" w:customStyle="1" w:styleId="64">
    <w:name w:val="标题 6 字符"/>
    <w:basedOn w:val="39"/>
    <w:link w:val="7"/>
    <w:qFormat/>
    <w:uiPriority w:val="0"/>
    <w:rPr>
      <w:rFonts w:asciiTheme="majorHAnsi" w:hAnsiTheme="majorHAnsi" w:eastAsiaTheme="majorEastAsia" w:cstheme="majorBidi"/>
      <w:b/>
      <w:bCs/>
      <w:kern w:val="2"/>
      <w:sz w:val="24"/>
      <w:szCs w:val="24"/>
    </w:rPr>
  </w:style>
  <w:style w:type="character" w:customStyle="1" w:styleId="65">
    <w:name w:val="标题 7 字符"/>
    <w:basedOn w:val="39"/>
    <w:link w:val="8"/>
    <w:qFormat/>
    <w:uiPriority w:val="0"/>
    <w:rPr>
      <w:rFonts w:ascii="Times New Roman" w:hAnsi="Times New Roman" w:eastAsia="宋体" w:cs="Times New Roman"/>
      <w:b/>
      <w:bCs/>
      <w:kern w:val="2"/>
      <w:sz w:val="24"/>
      <w:szCs w:val="24"/>
    </w:rPr>
  </w:style>
  <w:style w:type="character" w:customStyle="1" w:styleId="66">
    <w:name w:val="标题 8 字符"/>
    <w:basedOn w:val="39"/>
    <w:link w:val="9"/>
    <w:qFormat/>
    <w:uiPriority w:val="0"/>
    <w:rPr>
      <w:rFonts w:asciiTheme="majorHAnsi" w:hAnsiTheme="majorHAnsi" w:eastAsiaTheme="majorEastAsia" w:cstheme="majorBidi"/>
      <w:kern w:val="2"/>
      <w:sz w:val="24"/>
      <w:szCs w:val="24"/>
    </w:rPr>
  </w:style>
  <w:style w:type="character" w:customStyle="1" w:styleId="67">
    <w:name w:val="标题 9 字符"/>
    <w:basedOn w:val="39"/>
    <w:link w:val="10"/>
    <w:qFormat/>
    <w:uiPriority w:val="0"/>
    <w:rPr>
      <w:rFonts w:asciiTheme="majorHAnsi" w:hAnsiTheme="majorHAnsi" w:eastAsiaTheme="majorEastAsia" w:cstheme="majorBidi"/>
      <w:kern w:val="2"/>
      <w:sz w:val="21"/>
      <w:szCs w:val="21"/>
    </w:rPr>
  </w:style>
  <w:style w:type="character" w:customStyle="1" w:styleId="68">
    <w:name w:val="批注框文本 字符"/>
    <w:basedOn w:val="39"/>
    <w:link w:val="24"/>
    <w:qFormat/>
    <w:uiPriority w:val="99"/>
    <w:rPr>
      <w:rFonts w:ascii="Times New Roman" w:hAnsi="Times New Roman" w:eastAsia="宋体" w:cs="Times New Roman"/>
      <w:kern w:val="2"/>
      <w:sz w:val="18"/>
      <w:szCs w:val="18"/>
    </w:rPr>
  </w:style>
  <w:style w:type="character" w:customStyle="1" w:styleId="69">
    <w:name w:val="正文文本缩进 字符"/>
    <w:basedOn w:val="39"/>
    <w:link w:val="19"/>
    <w:qFormat/>
    <w:uiPriority w:val="99"/>
    <w:rPr>
      <w:rFonts w:ascii="Times New Roman" w:hAnsi="Times New Roman" w:eastAsia="宋体" w:cs="宋体"/>
      <w:kern w:val="2"/>
      <w:sz w:val="21"/>
      <w:szCs w:val="21"/>
      <w:lang w:val="zh-CN"/>
    </w:rPr>
  </w:style>
  <w:style w:type="character" w:customStyle="1" w:styleId="70">
    <w:name w:val="正文文本首行缩进 2 字符"/>
    <w:basedOn w:val="69"/>
    <w:link w:val="36"/>
    <w:qFormat/>
    <w:uiPriority w:val="99"/>
    <w:rPr>
      <w:rFonts w:ascii="Times New Roman" w:hAnsi="Times New Roman" w:eastAsia="宋体" w:cs="宋体"/>
      <w:kern w:val="2"/>
      <w:sz w:val="21"/>
      <w:szCs w:val="21"/>
      <w:lang w:val="zh-CN"/>
    </w:rPr>
  </w:style>
  <w:style w:type="character" w:customStyle="1" w:styleId="71">
    <w:name w:val="批注文字 字符"/>
    <w:basedOn w:val="39"/>
    <w:link w:val="18"/>
    <w:qFormat/>
    <w:uiPriority w:val="99"/>
    <w:rPr>
      <w:rFonts w:ascii="Times New Roman" w:hAnsi="Times New Roman" w:eastAsia="宋体" w:cs="宋体"/>
      <w:kern w:val="2"/>
      <w:sz w:val="21"/>
      <w:szCs w:val="21"/>
      <w:lang w:val="zh-CN"/>
    </w:rPr>
  </w:style>
  <w:style w:type="character" w:customStyle="1" w:styleId="72">
    <w:name w:val="HTML 地址 字符"/>
    <w:basedOn w:val="39"/>
    <w:link w:val="20"/>
    <w:qFormat/>
    <w:uiPriority w:val="0"/>
    <w:rPr>
      <w:rFonts w:ascii="Times New Roman" w:hAnsi="Times New Roman" w:eastAsia="宋体" w:cs="宋体"/>
      <w:i/>
      <w:kern w:val="2"/>
      <w:sz w:val="21"/>
      <w:szCs w:val="21"/>
      <w:lang w:val="zh-CN"/>
    </w:rPr>
  </w:style>
  <w:style w:type="character" w:customStyle="1" w:styleId="73">
    <w:name w:val="纯文本 字符"/>
    <w:basedOn w:val="39"/>
    <w:link w:val="21"/>
    <w:qFormat/>
    <w:uiPriority w:val="0"/>
    <w:rPr>
      <w:rFonts w:ascii="宋体" w:hAnsi="Courier New" w:eastAsia="宋体" w:cs="宋体"/>
      <w:kern w:val="2"/>
      <w:sz w:val="21"/>
      <w:szCs w:val="21"/>
      <w:lang w:val="zh-CN"/>
    </w:rPr>
  </w:style>
  <w:style w:type="character" w:customStyle="1" w:styleId="74">
    <w:name w:val="日期 字符"/>
    <w:basedOn w:val="39"/>
    <w:link w:val="23"/>
    <w:qFormat/>
    <w:uiPriority w:val="99"/>
    <w:rPr>
      <w:rFonts w:ascii="Times New Roman" w:hAnsi="Times New Roman" w:eastAsia="宋体" w:cs="宋体"/>
      <w:kern w:val="2"/>
      <w:sz w:val="21"/>
      <w:szCs w:val="21"/>
      <w:lang w:val="zh-CN"/>
    </w:rPr>
  </w:style>
  <w:style w:type="character" w:customStyle="1" w:styleId="75">
    <w:name w:val="脚注文本 字符"/>
    <w:basedOn w:val="39"/>
    <w:link w:val="28"/>
    <w:qFormat/>
    <w:uiPriority w:val="0"/>
    <w:rPr>
      <w:rFonts w:ascii="Times New Roman" w:hAnsi="Times New Roman" w:eastAsia="宋体" w:cs="宋体"/>
      <w:kern w:val="2"/>
      <w:sz w:val="18"/>
      <w:szCs w:val="21"/>
      <w:lang w:val="zh-CN"/>
    </w:rPr>
  </w:style>
  <w:style w:type="character" w:customStyle="1" w:styleId="76">
    <w:name w:val="HTML 预设格式 字符"/>
    <w:basedOn w:val="39"/>
    <w:link w:val="32"/>
    <w:qFormat/>
    <w:uiPriority w:val="0"/>
    <w:rPr>
      <w:rFonts w:ascii="Courier New" w:hAnsi="Courier New" w:eastAsia="宋体" w:cs="宋体"/>
      <w:kern w:val="2"/>
      <w:szCs w:val="21"/>
      <w:lang w:val="zh-CN"/>
    </w:rPr>
  </w:style>
  <w:style w:type="character" w:customStyle="1" w:styleId="77">
    <w:name w:val="标题 字符"/>
    <w:basedOn w:val="39"/>
    <w:link w:val="34"/>
    <w:qFormat/>
    <w:uiPriority w:val="0"/>
    <w:rPr>
      <w:rFonts w:ascii="Arial" w:hAnsi="Arial" w:eastAsia="宋体" w:cs="宋体"/>
      <w:b/>
      <w:kern w:val="2"/>
      <w:sz w:val="32"/>
      <w:szCs w:val="21"/>
      <w:lang w:val="zh-CN"/>
    </w:rPr>
  </w:style>
  <w:style w:type="character" w:customStyle="1" w:styleId="78">
    <w:name w:val="批注主题 字符"/>
    <w:basedOn w:val="71"/>
    <w:link w:val="35"/>
    <w:qFormat/>
    <w:uiPriority w:val="0"/>
    <w:rPr>
      <w:rFonts w:ascii="Times New Roman" w:hAnsi="Times New Roman" w:eastAsia="宋体" w:cs="宋体"/>
      <w:b/>
      <w:kern w:val="2"/>
      <w:sz w:val="21"/>
      <w:szCs w:val="21"/>
      <w:lang w:val="zh-CN"/>
    </w:rPr>
  </w:style>
  <w:style w:type="table" w:customStyle="1" w:styleId="79">
    <w:name w:val="网格型1"/>
    <w:basedOn w:val="3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0">
    <w:name w:val="发布"/>
    <w:qFormat/>
    <w:uiPriority w:val="0"/>
    <w:rPr>
      <w:rFonts w:ascii="黑体" w:eastAsia="黑体"/>
      <w:spacing w:val="22"/>
      <w:w w:val="100"/>
      <w:position w:val="3"/>
      <w:sz w:val="28"/>
    </w:rPr>
  </w:style>
  <w:style w:type="character" w:customStyle="1" w:styleId="81">
    <w:name w:val="个人答复风格"/>
    <w:qFormat/>
    <w:uiPriority w:val="0"/>
    <w:rPr>
      <w:rFonts w:ascii="Arial" w:hAnsi="Arial" w:eastAsia="宋体"/>
      <w:color w:val="auto"/>
      <w:sz w:val="20"/>
    </w:rPr>
  </w:style>
  <w:style w:type="character" w:customStyle="1" w:styleId="82">
    <w:name w:val="样式2 Char"/>
    <w:link w:val="83"/>
    <w:qFormat/>
    <w:uiPriority w:val="0"/>
    <w:rPr>
      <w:rFonts w:ascii="EU-F1" w:eastAsia="黑体"/>
      <w:sz w:val="21"/>
    </w:rPr>
  </w:style>
  <w:style w:type="paragraph" w:customStyle="1" w:styleId="83">
    <w:name w:val="样式2"/>
    <w:basedOn w:val="1"/>
    <w:link w:val="82"/>
    <w:qFormat/>
    <w:uiPriority w:val="0"/>
    <w:pPr>
      <w:keepNext/>
      <w:keepLines/>
      <w:spacing w:line="480" w:lineRule="auto"/>
      <w:ind w:firstLine="420"/>
      <w:jc w:val="center"/>
    </w:pPr>
    <w:rPr>
      <w:rFonts w:ascii="EU-F1" w:eastAsia="黑体" w:hAnsiTheme="minorHAnsi" w:cstheme="minorBidi"/>
      <w:kern w:val="0"/>
      <w:szCs w:val="20"/>
    </w:rPr>
  </w:style>
  <w:style w:type="character" w:customStyle="1" w:styleId="84">
    <w:name w:val="个人撰写风格"/>
    <w:qFormat/>
    <w:uiPriority w:val="0"/>
    <w:rPr>
      <w:rFonts w:ascii="Arial" w:hAnsi="Arial" w:eastAsia="宋体"/>
      <w:color w:val="auto"/>
      <w:sz w:val="20"/>
    </w:rPr>
  </w:style>
  <w:style w:type="character" w:styleId="85">
    <w:name w:val="Placeholder Text"/>
    <w:unhideWhenUsed/>
    <w:qFormat/>
    <w:uiPriority w:val="99"/>
    <w:rPr>
      <w:color w:val="808080"/>
    </w:rPr>
  </w:style>
  <w:style w:type="character" w:customStyle="1" w:styleId="86">
    <w:name w:val="段 Char"/>
    <w:link w:val="87"/>
    <w:qFormat/>
    <w:uiPriority w:val="0"/>
    <w:rPr>
      <w:sz w:val="21"/>
    </w:rPr>
  </w:style>
  <w:style w:type="paragraph" w:customStyle="1" w:styleId="87">
    <w:name w:val="段"/>
    <w:link w:val="86"/>
    <w:qFormat/>
    <w:uiPriority w:val="0"/>
    <w:pPr>
      <w:spacing w:line="360" w:lineRule="auto"/>
      <w:ind w:firstLine="200" w:firstLineChars="200"/>
      <w:jc w:val="both"/>
    </w:pPr>
    <w:rPr>
      <w:rFonts w:asciiTheme="minorHAnsi" w:hAnsiTheme="minorHAnsi" w:eastAsiaTheme="minorEastAsia" w:cstheme="minorBidi"/>
      <w:sz w:val="21"/>
      <w:lang w:val="en-US" w:eastAsia="zh-CN" w:bidi="ar-SA"/>
    </w:rPr>
  </w:style>
  <w:style w:type="paragraph" w:customStyle="1" w:styleId="88">
    <w:name w:val="工程建设公式标题"/>
    <w:basedOn w:val="89"/>
    <w:qFormat/>
    <w:uiPriority w:val="0"/>
    <w:pPr>
      <w:ind w:left="1296" w:hanging="1296"/>
      <w:jc w:val="center"/>
      <w:outlineLvl w:val="6"/>
    </w:pPr>
  </w:style>
  <w:style w:type="paragraph" w:customStyle="1" w:styleId="89">
    <w:name w:val="工程建设条标题"/>
    <w:basedOn w:val="90"/>
    <w:next w:val="87"/>
    <w:qFormat/>
    <w:uiPriority w:val="0"/>
    <w:pPr>
      <w:spacing w:before="0" w:after="0"/>
      <w:ind w:left="864" w:hanging="864"/>
      <w:jc w:val="left"/>
      <w:outlineLvl w:val="3"/>
    </w:pPr>
    <w:rPr>
      <w:b w:val="0"/>
    </w:rPr>
  </w:style>
  <w:style w:type="paragraph" w:customStyle="1" w:styleId="90">
    <w:name w:val="工程建设节标题"/>
    <w:basedOn w:val="91"/>
    <w:next w:val="87"/>
    <w:qFormat/>
    <w:uiPriority w:val="0"/>
    <w:pPr>
      <w:spacing w:before="400" w:after="400" w:line="240" w:lineRule="auto"/>
      <w:ind w:left="720" w:hanging="720"/>
      <w:outlineLvl w:val="2"/>
    </w:pPr>
    <w:rPr>
      <w:sz w:val="21"/>
    </w:rPr>
  </w:style>
  <w:style w:type="paragraph" w:customStyle="1" w:styleId="91">
    <w:name w:val="工程建设章标题"/>
    <w:next w:val="87"/>
    <w:qFormat/>
    <w:uiPriority w:val="0"/>
    <w:pPr>
      <w:spacing w:before="640" w:after="560" w:line="480" w:lineRule="exact"/>
      <w:ind w:left="576" w:hanging="576"/>
      <w:jc w:val="center"/>
      <w:outlineLvl w:val="1"/>
    </w:pPr>
    <w:rPr>
      <w:rFonts w:ascii="黑体" w:hAnsi="Times New Roman" w:eastAsia="黑体" w:cs="Times New Roman"/>
      <w:b/>
      <w:sz w:val="28"/>
      <w:lang w:val="en-US" w:eastAsia="zh-CN" w:bidi="ar-SA"/>
    </w:rPr>
  </w:style>
  <w:style w:type="paragraph" w:customStyle="1" w:styleId="92">
    <w:name w:val="条文脚注"/>
    <w:basedOn w:val="28"/>
    <w:qFormat/>
    <w:uiPriority w:val="0"/>
    <w:pPr>
      <w:numPr>
        <w:ilvl w:val="0"/>
        <w:numId w:val="2"/>
      </w:numPr>
      <w:tabs>
        <w:tab w:val="left" w:pos="360"/>
      </w:tabs>
      <w:ind w:firstLineChars="0"/>
      <w:jc w:val="both"/>
    </w:pPr>
    <w:rPr>
      <w:rFonts w:ascii="宋体"/>
    </w:rPr>
  </w:style>
  <w:style w:type="paragraph" w:customStyle="1" w:styleId="93">
    <w:name w:val="表头"/>
    <w:basedOn w:val="1"/>
    <w:qFormat/>
    <w:uiPriority w:val="0"/>
    <w:pPr>
      <w:tabs>
        <w:tab w:val="center" w:pos="4678"/>
        <w:tab w:val="right" w:pos="9072"/>
      </w:tabs>
      <w:topLinePunct/>
      <w:spacing w:before="160" w:after="60" w:line="312" w:lineRule="exact"/>
      <w:ind w:firstLine="420"/>
    </w:pPr>
    <w:rPr>
      <w:rFonts w:eastAsia="黑体" w:cs="宋体"/>
      <w:szCs w:val="21"/>
      <w:lang w:val="zh-CN"/>
    </w:rPr>
  </w:style>
  <w:style w:type="paragraph" w:customStyle="1" w:styleId="94">
    <w:name w:val="三级条标题"/>
    <w:basedOn w:val="95"/>
    <w:next w:val="87"/>
    <w:link w:val="190"/>
    <w:qFormat/>
    <w:uiPriority w:val="99"/>
    <w:pPr>
      <w:numPr>
        <w:numId w:val="3"/>
      </w:numPr>
      <w:tabs>
        <w:tab w:val="left" w:pos="440"/>
        <w:tab w:val="left" w:pos="503"/>
        <w:tab w:val="left" w:pos="525"/>
        <w:tab w:val="left" w:pos="566"/>
        <w:tab w:val="left" w:pos="720"/>
        <w:tab w:val="left" w:pos="945"/>
        <w:tab w:val="left" w:pos="997"/>
        <w:tab w:val="left" w:pos="1080"/>
      </w:tabs>
      <w:outlineLvl w:val="4"/>
    </w:pPr>
  </w:style>
  <w:style w:type="paragraph" w:customStyle="1" w:styleId="95">
    <w:name w:val="二级条标题"/>
    <w:basedOn w:val="96"/>
    <w:next w:val="87"/>
    <w:qFormat/>
    <w:uiPriority w:val="99"/>
    <w:pPr>
      <w:numPr>
        <w:ilvl w:val="2"/>
      </w:numPr>
      <w:tabs>
        <w:tab w:val="left" w:pos="440"/>
        <w:tab w:val="left" w:pos="503"/>
        <w:tab w:val="left" w:pos="525"/>
        <w:tab w:val="left" w:pos="566"/>
        <w:tab w:val="left" w:pos="720"/>
        <w:tab w:val="left" w:pos="997"/>
      </w:tabs>
      <w:outlineLvl w:val="2"/>
    </w:pPr>
  </w:style>
  <w:style w:type="paragraph" w:customStyle="1" w:styleId="96">
    <w:name w:val="一级条标题"/>
    <w:basedOn w:val="97"/>
    <w:next w:val="87"/>
    <w:qFormat/>
    <w:uiPriority w:val="0"/>
    <w:pPr>
      <w:numPr>
        <w:ilvl w:val="1"/>
      </w:numPr>
      <w:tabs>
        <w:tab w:val="left" w:pos="440"/>
        <w:tab w:val="left" w:pos="503"/>
        <w:tab w:val="left" w:pos="525"/>
        <w:tab w:val="left" w:pos="566"/>
        <w:tab w:val="left" w:pos="720"/>
        <w:tab w:val="left" w:pos="997"/>
      </w:tabs>
      <w:spacing w:before="0" w:beforeLines="0" w:after="0" w:afterLines="0" w:line="360" w:lineRule="auto"/>
      <w:outlineLvl w:val="1"/>
    </w:pPr>
    <w:rPr>
      <w:rFonts w:hAnsi="黑体"/>
      <w:b w:val="0"/>
    </w:rPr>
  </w:style>
  <w:style w:type="paragraph" w:customStyle="1" w:styleId="97">
    <w:name w:val="章标题"/>
    <w:next w:val="87"/>
    <w:qFormat/>
    <w:uiPriority w:val="0"/>
    <w:pPr>
      <w:numPr>
        <w:ilvl w:val="0"/>
        <w:numId w:val="4"/>
      </w:numPr>
      <w:tabs>
        <w:tab w:val="left" w:pos="420"/>
      </w:tabs>
      <w:spacing w:before="240" w:beforeLines="100" w:after="240" w:afterLines="100" w:line="400" w:lineRule="exact"/>
      <w:jc w:val="both"/>
      <w:outlineLvl w:val="0"/>
    </w:pPr>
    <w:rPr>
      <w:rFonts w:ascii="黑体" w:hAnsi="Times New Roman" w:eastAsia="黑体" w:cs="Times New Roman"/>
      <w:b/>
      <w:sz w:val="21"/>
      <w:lang w:val="en-US" w:eastAsia="zh-CN" w:bidi="ar-SA"/>
    </w:rPr>
  </w:style>
  <w:style w:type="paragraph" w:customStyle="1" w:styleId="98">
    <w:name w:val="二级无标题条"/>
    <w:basedOn w:val="1"/>
    <w:qFormat/>
    <w:uiPriority w:val="0"/>
    <w:pPr>
      <w:numPr>
        <w:ilvl w:val="3"/>
        <w:numId w:val="5"/>
      </w:numPr>
    </w:pPr>
    <w:rPr>
      <w:rFonts w:cs="宋体"/>
      <w:b/>
      <w:szCs w:val="21"/>
      <w:lang w:val="zh-CN"/>
    </w:rPr>
  </w:style>
  <w:style w:type="paragraph" w:customStyle="1" w:styleId="99">
    <w:name w:val="附录标识"/>
    <w:basedOn w:val="100"/>
    <w:next w:val="87"/>
    <w:qFormat/>
    <w:uiPriority w:val="0"/>
    <w:pPr>
      <w:numPr>
        <w:ilvl w:val="0"/>
        <w:numId w:val="6"/>
      </w:numPr>
      <w:spacing w:after="200"/>
    </w:pPr>
    <w:rPr>
      <w:sz w:val="21"/>
    </w:rPr>
  </w:style>
  <w:style w:type="paragraph" w:customStyle="1" w:styleId="100">
    <w:name w:val="前言、引言标题"/>
    <w:next w:val="1"/>
    <w:qFormat/>
    <w:uiPriority w:val="0"/>
    <w:pPr>
      <w:shd w:val="clear" w:color="FFFFFF" w:fill="FFFFFF"/>
      <w:spacing w:before="640" w:after="560"/>
      <w:jc w:val="center"/>
      <w:outlineLvl w:val="0"/>
    </w:pPr>
    <w:rPr>
      <w:rFonts w:ascii="黑体" w:hAnsi="Times New Roman" w:eastAsia="黑体" w:cs="Times New Roman"/>
      <w:b/>
      <w:sz w:val="32"/>
      <w:lang w:val="en-US" w:eastAsia="zh-CN" w:bidi="ar-SA"/>
    </w:rPr>
  </w:style>
  <w:style w:type="paragraph" w:customStyle="1" w:styleId="101">
    <w:name w:val="列出段落2"/>
    <w:basedOn w:val="1"/>
    <w:qFormat/>
    <w:uiPriority w:val="99"/>
    <w:pPr>
      <w:ind w:firstLine="420"/>
    </w:pPr>
    <w:rPr>
      <w:rFonts w:ascii="Calibri" w:hAnsi="Calibri" w:cs="宋体"/>
      <w:szCs w:val="21"/>
      <w:lang w:val="zh-CN"/>
    </w:rPr>
  </w:style>
  <w:style w:type="paragraph" w:customStyle="1" w:styleId="102">
    <w:name w:val="附录图标题"/>
    <w:basedOn w:val="103"/>
    <w:next w:val="87"/>
    <w:qFormat/>
    <w:uiPriority w:val="0"/>
    <w:pPr>
      <w:numPr>
        <w:ilvl w:val="0"/>
        <w:numId w:val="7"/>
      </w:numPr>
      <w:tabs>
        <w:tab w:val="left" w:pos="210"/>
        <w:tab w:val="left" w:pos="420"/>
        <w:tab w:val="clear" w:pos="360"/>
      </w:tabs>
    </w:pPr>
  </w:style>
  <w:style w:type="paragraph" w:customStyle="1" w:styleId="103">
    <w:name w:val="正文图标题"/>
    <w:basedOn w:val="104"/>
    <w:next w:val="87"/>
    <w:qFormat/>
    <w:uiPriority w:val="0"/>
    <w:pPr>
      <w:numPr>
        <w:ilvl w:val="0"/>
        <w:numId w:val="8"/>
      </w:numPr>
      <w:tabs>
        <w:tab w:val="left" w:pos="420"/>
      </w:tabs>
    </w:pPr>
  </w:style>
  <w:style w:type="paragraph" w:customStyle="1" w:styleId="104">
    <w:name w:val="正文表标题"/>
    <w:next w:val="87"/>
    <w:qFormat/>
    <w:uiPriority w:val="0"/>
    <w:pPr>
      <w:tabs>
        <w:tab w:val="left" w:pos="420"/>
      </w:tabs>
      <w:spacing w:before="156" w:beforeLines="50" w:after="156" w:afterLines="50"/>
      <w:jc w:val="center"/>
    </w:pPr>
    <w:rPr>
      <w:rFonts w:ascii="黑体" w:hAnsi="Times New Roman" w:eastAsia="黑体" w:cs="Times New Roman"/>
      <w:b/>
      <w:sz w:val="21"/>
      <w:lang w:val="en-US" w:eastAsia="zh-CN" w:bidi="ar-SA"/>
    </w:rPr>
  </w:style>
  <w:style w:type="paragraph" w:customStyle="1" w:styleId="105">
    <w:name w:val="实施日期"/>
    <w:basedOn w:val="106"/>
    <w:qFormat/>
    <w:uiPriority w:val="0"/>
    <w:pPr>
      <w:jc w:val="right"/>
    </w:pPr>
  </w:style>
  <w:style w:type="paragraph" w:customStyle="1" w:styleId="106">
    <w:name w:val="发布日期"/>
    <w:qFormat/>
    <w:uiPriority w:val="0"/>
    <w:rPr>
      <w:rFonts w:ascii="Times New Roman" w:hAnsi="Times New Roman" w:eastAsia="黑体" w:cs="Times New Roman"/>
      <w:sz w:val="28"/>
      <w:lang w:val="en-US" w:eastAsia="zh-CN" w:bidi="ar-SA"/>
    </w:rPr>
  </w:style>
  <w:style w:type="paragraph" w:customStyle="1" w:styleId="107">
    <w:name w:val="数字编号列项（二级）"/>
    <w:qFormat/>
    <w:uiPriority w:val="0"/>
    <w:pPr>
      <w:numPr>
        <w:ilvl w:val="2"/>
        <w:numId w:val="9"/>
      </w:numPr>
      <w:ind w:left="400" w:leftChars="400" w:hanging="200" w:hangingChars="200"/>
      <w:jc w:val="both"/>
    </w:pPr>
    <w:rPr>
      <w:rFonts w:ascii="宋体" w:hAnsi="Times New Roman" w:eastAsia="宋体" w:cs="Times New Roman"/>
      <w:sz w:val="21"/>
      <w:lang w:val="en-US" w:eastAsia="zh-CN" w:bidi="ar-SA"/>
    </w:rPr>
  </w:style>
  <w:style w:type="paragraph" w:customStyle="1" w:styleId="108">
    <w:name w:val="附录二级条标题"/>
    <w:basedOn w:val="109"/>
    <w:next w:val="87"/>
    <w:qFormat/>
    <w:uiPriority w:val="0"/>
    <w:pPr>
      <w:numPr>
        <w:ilvl w:val="3"/>
      </w:numPr>
      <w:outlineLvl w:val="3"/>
    </w:pPr>
  </w:style>
  <w:style w:type="paragraph" w:customStyle="1" w:styleId="109">
    <w:name w:val="附录一级条标题"/>
    <w:basedOn w:val="110"/>
    <w:next w:val="87"/>
    <w:qFormat/>
    <w:uiPriority w:val="0"/>
    <w:pPr>
      <w:numPr>
        <w:ilvl w:val="2"/>
      </w:numPr>
      <w:autoSpaceDN w:val="0"/>
      <w:spacing w:before="0" w:beforeLines="0" w:after="0" w:afterLines="0"/>
      <w:outlineLvl w:val="2"/>
    </w:pPr>
  </w:style>
  <w:style w:type="paragraph" w:customStyle="1" w:styleId="110">
    <w:name w:val="附录章标题"/>
    <w:next w:val="87"/>
    <w:qFormat/>
    <w:uiPriority w:val="0"/>
    <w:pPr>
      <w:numPr>
        <w:ilvl w:val="1"/>
        <w:numId w:val="6"/>
      </w:numPr>
      <w:wordWrap w:val="0"/>
      <w:overflowPunct w:val="0"/>
      <w:autoSpaceDE w:val="0"/>
      <w:spacing w:before="156" w:beforeLines="50" w:after="156" w:afterLines="50"/>
      <w:jc w:val="both"/>
      <w:textAlignment w:val="baseline"/>
      <w:outlineLvl w:val="1"/>
    </w:pPr>
    <w:rPr>
      <w:rFonts w:ascii="黑体" w:hAnsi="Times New Roman" w:eastAsia="黑体" w:cs="Times New Roman"/>
      <w:b/>
      <w:kern w:val="21"/>
      <w:sz w:val="21"/>
      <w:lang w:val="en-US" w:eastAsia="zh-CN" w:bidi="ar-SA"/>
    </w:rPr>
  </w:style>
  <w:style w:type="paragraph" w:customStyle="1" w:styleId="111">
    <w:name w:val="TOC 标题1"/>
    <w:basedOn w:val="2"/>
    <w:next w:val="1"/>
    <w:qFormat/>
    <w:uiPriority w:val="39"/>
    <w:pPr>
      <w:widowControl/>
      <w:numPr>
        <w:numId w:val="0"/>
      </w:numPr>
      <w:spacing w:before="240" w:line="259" w:lineRule="auto"/>
      <w:ind w:firstLine="420" w:firstLineChars="200"/>
      <w:jc w:val="left"/>
      <w:outlineLvl w:val="9"/>
    </w:pPr>
    <w:rPr>
      <w:rFonts w:ascii="Calibri Light" w:hAnsi="Calibri Light"/>
      <w:b/>
      <w:bCs/>
      <w:color w:val="2E74B5"/>
      <w:kern w:val="0"/>
      <w:sz w:val="32"/>
      <w:szCs w:val="32"/>
      <w:lang w:val="zh-CN"/>
    </w:rPr>
  </w:style>
  <w:style w:type="paragraph" w:customStyle="1" w:styleId="112">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13">
    <w:name w:val="无标题条"/>
    <w:next w:val="87"/>
    <w:qFormat/>
    <w:uiPriority w:val="0"/>
    <w:pPr>
      <w:jc w:val="both"/>
    </w:pPr>
    <w:rPr>
      <w:rFonts w:ascii="Times New Roman" w:hAnsi="Times New Roman" w:eastAsia="宋体" w:cs="Times New Roman"/>
      <w:sz w:val="21"/>
      <w:lang w:val="en-US" w:eastAsia="zh-CN" w:bidi="ar-SA"/>
    </w:rPr>
  </w:style>
  <w:style w:type="paragraph" w:customStyle="1" w:styleId="114">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15">
    <w:name w:val="标准标志"/>
    <w:next w:val="1"/>
    <w:qFormat/>
    <w:uiPriority w:val="0"/>
    <w:pPr>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116">
    <w:name w:val="正文段落"/>
    <w:basedOn w:val="1"/>
    <w:qFormat/>
    <w:uiPriority w:val="0"/>
    <w:pPr>
      <w:spacing w:line="300" w:lineRule="auto"/>
    </w:pPr>
    <w:rPr>
      <w:rFonts w:cs="宋体"/>
      <w:szCs w:val="21"/>
      <w:lang w:val="zh-CN"/>
    </w:rPr>
  </w:style>
  <w:style w:type="paragraph" w:customStyle="1" w:styleId="117">
    <w:name w:val="三级无标题条"/>
    <w:basedOn w:val="1"/>
    <w:qFormat/>
    <w:uiPriority w:val="0"/>
    <w:pPr>
      <w:numPr>
        <w:ilvl w:val="4"/>
        <w:numId w:val="5"/>
      </w:numPr>
    </w:pPr>
    <w:rPr>
      <w:rFonts w:cs="宋体"/>
      <w:b/>
      <w:szCs w:val="21"/>
      <w:lang w:val="zh-CN"/>
    </w:rPr>
  </w:style>
  <w:style w:type="paragraph" w:customStyle="1" w:styleId="118">
    <w:name w:val="四级条标题"/>
    <w:basedOn w:val="94"/>
    <w:next w:val="87"/>
    <w:qFormat/>
    <w:uiPriority w:val="99"/>
    <w:pPr>
      <w:numPr>
        <w:ilvl w:val="5"/>
        <w:numId w:val="10"/>
      </w:numPr>
      <w:tabs>
        <w:tab w:val="left" w:pos="1155"/>
        <w:tab w:val="clear" w:pos="720"/>
        <w:tab w:val="clear" w:pos="945"/>
        <w:tab w:val="clear" w:pos="1080"/>
      </w:tabs>
      <w:outlineLvl w:val="5"/>
    </w:pPr>
  </w:style>
  <w:style w:type="paragraph" w:customStyle="1" w:styleId="119">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20">
    <w:name w:val="工程建设款标题"/>
    <w:basedOn w:val="89"/>
    <w:qFormat/>
    <w:uiPriority w:val="0"/>
    <w:pPr>
      <w:outlineLvl w:val="9"/>
    </w:pPr>
  </w:style>
  <w:style w:type="paragraph" w:customStyle="1" w:styleId="121">
    <w:name w:val="术语定义五级条标题"/>
    <w:basedOn w:val="97"/>
    <w:next w:val="87"/>
    <w:qFormat/>
    <w:uiPriority w:val="0"/>
    <w:pPr>
      <w:numPr>
        <w:ilvl w:val="4"/>
        <w:numId w:val="11"/>
      </w:numPr>
      <w:tabs>
        <w:tab w:val="left" w:pos="1440"/>
        <w:tab w:val="clear" w:pos="420"/>
      </w:tabs>
      <w:spacing w:before="0" w:beforeLines="0" w:after="0" w:afterLines="0"/>
      <w:outlineLvl w:val="9"/>
    </w:pPr>
  </w:style>
  <w:style w:type="paragraph" w:customStyle="1" w:styleId="122">
    <w:name w:val="一级无标题条"/>
    <w:basedOn w:val="1"/>
    <w:qFormat/>
    <w:uiPriority w:val="0"/>
    <w:pPr>
      <w:numPr>
        <w:ilvl w:val="2"/>
        <w:numId w:val="5"/>
      </w:numPr>
      <w:tabs>
        <w:tab w:val="left" w:pos="420"/>
      </w:tabs>
    </w:pPr>
    <w:rPr>
      <w:rFonts w:cs="宋体"/>
      <w:b/>
      <w:szCs w:val="21"/>
      <w:lang w:val="zh-CN"/>
    </w:rPr>
  </w:style>
  <w:style w:type="paragraph" w:customStyle="1" w:styleId="123">
    <w:name w:val="附录三级条标题"/>
    <w:basedOn w:val="108"/>
    <w:next w:val="87"/>
    <w:qFormat/>
    <w:uiPriority w:val="0"/>
    <w:pPr>
      <w:numPr>
        <w:ilvl w:val="4"/>
      </w:numPr>
      <w:outlineLvl w:val="4"/>
    </w:pPr>
  </w:style>
  <w:style w:type="paragraph" w:customStyle="1" w:styleId="124">
    <w:name w:val="参考文献、索引标题"/>
    <w:basedOn w:val="100"/>
    <w:next w:val="1"/>
    <w:qFormat/>
    <w:uiPriority w:val="0"/>
    <w:pPr>
      <w:spacing w:after="200"/>
    </w:pPr>
    <w:rPr>
      <w:sz w:val="21"/>
    </w:rPr>
  </w:style>
  <w:style w:type="paragraph" w:customStyle="1" w:styleId="125">
    <w:name w:val="图表脚注"/>
    <w:next w:val="87"/>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126">
    <w:name w:val="引言一级条标题"/>
    <w:basedOn w:val="1"/>
    <w:next w:val="87"/>
    <w:qFormat/>
    <w:uiPriority w:val="0"/>
    <w:pPr>
      <w:widowControl/>
      <w:numPr>
        <w:ilvl w:val="0"/>
        <w:numId w:val="12"/>
      </w:numPr>
      <w:tabs>
        <w:tab w:val="clear" w:pos="360"/>
      </w:tabs>
    </w:pPr>
    <w:rPr>
      <w:rFonts w:eastAsia="黑体" w:cs="宋体"/>
      <w:b/>
      <w:szCs w:val="21"/>
      <w:lang w:val="zh-CN"/>
    </w:rPr>
  </w:style>
  <w:style w:type="paragraph" w:customStyle="1" w:styleId="127">
    <w:name w:val="文献分类号"/>
    <w:qFormat/>
    <w:uiPriority w:val="0"/>
    <w:pPr>
      <w:widowControl w:val="0"/>
      <w:textAlignment w:val="center"/>
    </w:pPr>
    <w:rPr>
      <w:rFonts w:ascii="Times New Roman" w:hAnsi="Times New Roman" w:eastAsia="黑体" w:cs="Times New Roman"/>
      <w:sz w:val="21"/>
      <w:lang w:val="en-US" w:eastAsia="zh-CN" w:bidi="ar-SA"/>
    </w:rPr>
  </w:style>
  <w:style w:type="paragraph" w:customStyle="1" w:styleId="128">
    <w:name w:val="五级条标题"/>
    <w:basedOn w:val="118"/>
    <w:next w:val="87"/>
    <w:qFormat/>
    <w:uiPriority w:val="99"/>
    <w:pPr>
      <w:numPr>
        <w:ilvl w:val="6"/>
      </w:numPr>
      <w:tabs>
        <w:tab w:val="left" w:pos="1407"/>
        <w:tab w:val="left" w:pos="1440"/>
        <w:tab w:val="clear" w:pos="1155"/>
      </w:tabs>
      <w:outlineLvl w:val="6"/>
    </w:pPr>
  </w:style>
  <w:style w:type="paragraph" w:customStyle="1" w:styleId="129">
    <w:name w:val="附录四级条标题"/>
    <w:basedOn w:val="123"/>
    <w:next w:val="87"/>
    <w:qFormat/>
    <w:uiPriority w:val="0"/>
    <w:pPr>
      <w:numPr>
        <w:ilvl w:val="5"/>
      </w:numPr>
      <w:outlineLvl w:val="5"/>
    </w:pPr>
  </w:style>
  <w:style w:type="paragraph" w:customStyle="1" w:styleId="130">
    <w:name w:val="字母编号列项（一级）"/>
    <w:qFormat/>
    <w:uiPriority w:val="0"/>
    <w:pPr>
      <w:numPr>
        <w:ilvl w:val="1"/>
        <w:numId w:val="9"/>
      </w:numPr>
      <w:ind w:left="200" w:leftChars="200" w:hanging="200" w:hangingChars="200"/>
      <w:jc w:val="both"/>
    </w:pPr>
    <w:rPr>
      <w:rFonts w:ascii="宋体" w:hAnsi="Times New Roman" w:eastAsia="宋体" w:cs="Times New Roman"/>
      <w:sz w:val="21"/>
      <w:lang w:val="en-US" w:eastAsia="zh-CN" w:bidi="ar-SA"/>
    </w:rPr>
  </w:style>
  <w:style w:type="paragraph" w:customStyle="1" w:styleId="131">
    <w:name w:val="工程建设图标题"/>
    <w:basedOn w:val="89"/>
    <w:qFormat/>
    <w:uiPriority w:val="0"/>
    <w:pPr>
      <w:jc w:val="center"/>
      <w:outlineLvl w:val="5"/>
    </w:pPr>
  </w:style>
  <w:style w:type="paragraph" w:customStyle="1" w:styleId="132">
    <w:name w:val="Char Char Char Char Char Char Char Char Char Char Char Char Char Char Char Char Char Char Char Char Char1 Char Char Char Char"/>
    <w:basedOn w:val="1"/>
    <w:qFormat/>
    <w:uiPriority w:val="0"/>
    <w:pPr>
      <w:ind w:firstLine="420"/>
    </w:pPr>
    <w:rPr>
      <w:rFonts w:cs="宋体"/>
      <w:szCs w:val="21"/>
      <w:lang w:val="zh-CN"/>
    </w:rPr>
  </w:style>
  <w:style w:type="paragraph" w:customStyle="1" w:styleId="133">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34">
    <w:name w:val="样式 标题 1 + 黑体 五号 黑色 首行缩进:  2 字符 段前: 15.6 磅 段后: 15.6 磅 行距: 固..."/>
    <w:basedOn w:val="2"/>
    <w:qFormat/>
    <w:uiPriority w:val="0"/>
    <w:pPr>
      <w:numPr>
        <w:numId w:val="0"/>
      </w:numPr>
      <w:spacing w:before="312" w:after="312" w:line="340" w:lineRule="exact"/>
      <w:ind w:firstLine="420" w:firstLineChars="200"/>
    </w:pPr>
    <w:rPr>
      <w:rFonts w:hAnsi="宋体" w:cs="宋体"/>
      <w:bCs/>
      <w:color w:val="000000"/>
      <w:sz w:val="21"/>
      <w:szCs w:val="21"/>
      <w:lang w:val="zh-CN"/>
    </w:rPr>
  </w:style>
  <w:style w:type="paragraph" w:customStyle="1" w:styleId="135">
    <w:name w:val="注×："/>
    <w:qFormat/>
    <w:uiPriority w:val="99"/>
    <w:pPr>
      <w:widowControl w:val="0"/>
      <w:numPr>
        <w:ilvl w:val="0"/>
        <w:numId w:val="13"/>
      </w:numPr>
      <w:tabs>
        <w:tab w:val="left" w:pos="630"/>
      </w:tabs>
      <w:autoSpaceDE w:val="0"/>
      <w:autoSpaceDN w:val="0"/>
      <w:jc w:val="both"/>
    </w:pPr>
    <w:rPr>
      <w:rFonts w:ascii="宋体" w:hAnsi="Times New Roman" w:eastAsia="宋体" w:cs="Times New Roman"/>
      <w:sz w:val="18"/>
      <w:lang w:val="en-US" w:eastAsia="zh-CN" w:bidi="ar-SA"/>
    </w:rPr>
  </w:style>
  <w:style w:type="paragraph" w:customStyle="1" w:styleId="136">
    <w:name w:val="引言二级条标题"/>
    <w:basedOn w:val="126"/>
    <w:next w:val="87"/>
    <w:qFormat/>
    <w:uiPriority w:val="0"/>
    <w:pPr>
      <w:numPr>
        <w:ilvl w:val="1"/>
        <w:numId w:val="14"/>
      </w:numPr>
    </w:pPr>
  </w:style>
  <w:style w:type="paragraph" w:customStyle="1" w:styleId="137">
    <w:name w:val="术语定义条标题"/>
    <w:basedOn w:val="97"/>
    <w:next w:val="87"/>
    <w:qFormat/>
    <w:uiPriority w:val="0"/>
    <w:pPr>
      <w:numPr>
        <w:ilvl w:val="0"/>
        <w:numId w:val="11"/>
      </w:numPr>
      <w:tabs>
        <w:tab w:val="left" w:pos="360"/>
        <w:tab w:val="clear" w:pos="420"/>
      </w:tabs>
      <w:spacing w:before="0" w:beforeLines="0" w:after="0" w:afterLines="0"/>
      <w:jc w:val="left"/>
      <w:outlineLvl w:val="9"/>
    </w:pPr>
  </w:style>
  <w:style w:type="paragraph" w:customStyle="1" w:styleId="138">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39">
    <w:name w:val="四级无标题条"/>
    <w:basedOn w:val="1"/>
    <w:qFormat/>
    <w:uiPriority w:val="0"/>
    <w:pPr>
      <w:numPr>
        <w:ilvl w:val="5"/>
        <w:numId w:val="5"/>
      </w:numPr>
    </w:pPr>
    <w:rPr>
      <w:rFonts w:eastAsia="黑体" w:cs="宋体"/>
      <w:b/>
      <w:szCs w:val="21"/>
      <w:lang w:val="zh-CN"/>
    </w:rPr>
  </w:style>
  <w:style w:type="paragraph" w:customStyle="1" w:styleId="140">
    <w:name w:val="列项·"/>
    <w:qFormat/>
    <w:uiPriority w:val="0"/>
    <w:pPr>
      <w:numPr>
        <w:ilvl w:val="0"/>
        <w:numId w:val="15"/>
      </w:numPr>
      <w:tabs>
        <w:tab w:val="left" w:pos="840"/>
      </w:tabs>
      <w:ind w:left="840" w:leftChars="200" w:hanging="420" w:hangingChars="200"/>
      <w:jc w:val="both"/>
    </w:pPr>
    <w:rPr>
      <w:rFonts w:ascii="宋体" w:hAnsi="Times New Roman" w:eastAsia="宋体" w:cs="Times New Roman"/>
      <w:sz w:val="21"/>
      <w:lang w:val="en-US" w:eastAsia="zh-CN" w:bidi="ar-SA"/>
    </w:rPr>
  </w:style>
  <w:style w:type="paragraph" w:customStyle="1" w:styleId="141">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42">
    <w:name w:val="工程建设无节条标题"/>
    <w:basedOn w:val="1"/>
    <w:next w:val="87"/>
    <w:qFormat/>
    <w:uiPriority w:val="0"/>
    <w:pPr>
      <w:ind w:left="1584" w:hanging="1584"/>
      <w:outlineLvl w:val="3"/>
    </w:pPr>
    <w:rPr>
      <w:rFonts w:cs="宋体"/>
      <w:szCs w:val="21"/>
      <w:lang w:val="zh-CN"/>
    </w:rPr>
  </w:style>
  <w:style w:type="paragraph" w:customStyle="1" w:styleId="143">
    <w:name w:val="标准称谓"/>
    <w:next w:val="1"/>
    <w:qFormat/>
    <w:uiPriority w:val="0"/>
    <w:pPr>
      <w:widowControl w:val="0"/>
      <w:kinsoku w:val="0"/>
      <w:overflowPunct w:val="0"/>
      <w:autoSpaceDE w:val="0"/>
      <w:autoSpaceDN w:val="0"/>
      <w:spacing w:line="0" w:lineRule="atLeast"/>
      <w:jc w:val="distribute"/>
    </w:pPr>
    <w:rPr>
      <w:rFonts w:ascii="宋体" w:hAnsi="Times New Roman" w:eastAsia="宋体" w:cs="Times New Roman"/>
      <w:b/>
      <w:spacing w:val="20"/>
      <w:w w:val="148"/>
      <w:sz w:val="52"/>
      <w:lang w:val="en-US" w:eastAsia="zh-CN" w:bidi="ar-SA"/>
    </w:rPr>
  </w:style>
  <w:style w:type="paragraph" w:customStyle="1" w:styleId="144">
    <w:name w:val="附录表标题"/>
    <w:basedOn w:val="104"/>
    <w:next w:val="87"/>
    <w:qFormat/>
    <w:uiPriority w:val="0"/>
    <w:pPr>
      <w:numPr>
        <w:ilvl w:val="0"/>
        <w:numId w:val="16"/>
      </w:numPr>
      <w:tabs>
        <w:tab w:val="left" w:pos="210"/>
        <w:tab w:val="clear" w:pos="420"/>
      </w:tabs>
      <w:textAlignment w:val="baseline"/>
    </w:pPr>
    <w:rPr>
      <w:rFonts w:ascii="宋体" w:eastAsia="宋体"/>
      <w:kern w:val="21"/>
    </w:rPr>
  </w:style>
  <w:style w:type="paragraph" w:customStyle="1" w:styleId="145">
    <w:name w:val="封面标准号2"/>
    <w:basedOn w:val="141"/>
    <w:qFormat/>
    <w:uiPriority w:val="0"/>
    <w:pPr>
      <w:adjustRightInd w:val="0"/>
      <w:spacing w:before="357" w:line="280" w:lineRule="exact"/>
    </w:pPr>
  </w:style>
  <w:style w:type="paragraph" w:customStyle="1" w:styleId="146">
    <w:name w:val="术语定义二级条标题"/>
    <w:basedOn w:val="137"/>
    <w:next w:val="87"/>
    <w:qFormat/>
    <w:uiPriority w:val="0"/>
    <w:pPr>
      <w:numPr>
        <w:ilvl w:val="1"/>
      </w:numPr>
      <w:tabs>
        <w:tab w:val="clear" w:pos="360"/>
      </w:tabs>
    </w:pPr>
  </w:style>
  <w:style w:type="paragraph" w:customStyle="1" w:styleId="147">
    <w:name w:val="Char Char Char Char Char Char Char"/>
    <w:basedOn w:val="1"/>
    <w:qFormat/>
    <w:uiPriority w:val="0"/>
    <w:pPr>
      <w:ind w:firstLine="420"/>
    </w:pPr>
    <w:rPr>
      <w:rFonts w:cs="宋体"/>
      <w:szCs w:val="21"/>
      <w:lang w:val="zh-CN"/>
    </w:rPr>
  </w:style>
  <w:style w:type="paragraph" w:customStyle="1" w:styleId="148">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9">
    <w:name w:val="注："/>
    <w:next w:val="87"/>
    <w:qFormat/>
    <w:uiPriority w:val="0"/>
    <w:pPr>
      <w:widowControl w:val="0"/>
      <w:numPr>
        <w:ilvl w:val="0"/>
        <w:numId w:val="17"/>
      </w:numPr>
      <w:autoSpaceDE w:val="0"/>
      <w:autoSpaceDN w:val="0"/>
      <w:jc w:val="both"/>
    </w:pPr>
    <w:rPr>
      <w:rFonts w:ascii="宋体" w:hAnsi="Times New Roman" w:eastAsia="宋体" w:cs="Times New Roman"/>
      <w:sz w:val="18"/>
      <w:lang w:val="en-US" w:eastAsia="zh-CN" w:bidi="ar-SA"/>
    </w:rPr>
  </w:style>
  <w:style w:type="paragraph" w:customStyle="1" w:styleId="150">
    <w:name w:val="样式 居中1"/>
    <w:basedOn w:val="1"/>
    <w:qFormat/>
    <w:uiPriority w:val="0"/>
    <w:pPr>
      <w:ind w:firstLine="420"/>
      <w:jc w:val="center"/>
    </w:pPr>
    <w:rPr>
      <w:rFonts w:cs="宋体"/>
      <w:szCs w:val="21"/>
      <w:lang w:val="zh-CN"/>
    </w:rPr>
  </w:style>
  <w:style w:type="paragraph" w:customStyle="1" w:styleId="151">
    <w:name w:val="示例"/>
    <w:next w:val="87"/>
    <w:qFormat/>
    <w:uiPriority w:val="0"/>
    <w:pPr>
      <w:numPr>
        <w:ilvl w:val="0"/>
        <w:numId w:val="18"/>
      </w:numPr>
      <w:tabs>
        <w:tab w:val="clear" w:pos="1140"/>
      </w:tabs>
      <w:ind w:left="0" w:firstLine="200" w:firstLineChars="200"/>
      <w:jc w:val="both"/>
    </w:pPr>
    <w:rPr>
      <w:rFonts w:ascii="宋体" w:hAnsi="Times New Roman" w:eastAsia="宋体" w:cs="Times New Roman"/>
      <w:sz w:val="18"/>
      <w:lang w:val="en-US" w:eastAsia="zh-CN" w:bidi="ar-SA"/>
    </w:rPr>
  </w:style>
  <w:style w:type="paragraph" w:customStyle="1" w:styleId="152">
    <w:name w:val="目次、标准名称标题"/>
    <w:basedOn w:val="100"/>
    <w:next w:val="87"/>
    <w:qFormat/>
    <w:uiPriority w:val="0"/>
    <w:pPr>
      <w:spacing w:line="460" w:lineRule="exact"/>
      <w:outlineLvl w:val="9"/>
    </w:pPr>
  </w:style>
  <w:style w:type="paragraph" w:customStyle="1" w:styleId="153">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154">
    <w:name w:val="封面一致性程度标识"/>
    <w:qFormat/>
    <w:uiPriority w:val="99"/>
    <w:pPr>
      <w:spacing w:before="440" w:line="400" w:lineRule="exact"/>
      <w:jc w:val="center"/>
    </w:pPr>
    <w:rPr>
      <w:rFonts w:ascii="宋体" w:hAnsi="Times New Roman" w:eastAsia="宋体" w:cs="Times New Roman"/>
      <w:sz w:val="28"/>
      <w:lang w:val="en-US" w:eastAsia="zh-CN" w:bidi="ar-SA"/>
    </w:rPr>
  </w:style>
  <w:style w:type="paragraph" w:customStyle="1" w:styleId="155">
    <w:name w:val="式中"/>
    <w:next w:val="87"/>
    <w:qFormat/>
    <w:uiPriority w:val="0"/>
    <w:pPr>
      <w:numPr>
        <w:ilvl w:val="0"/>
        <w:numId w:val="19"/>
      </w:numPr>
      <w:tabs>
        <w:tab w:val="left" w:pos="210"/>
      </w:tabs>
    </w:pPr>
    <w:rPr>
      <w:rFonts w:ascii="宋体" w:hAnsi="Times New Roman" w:eastAsia="宋体" w:cs="Times New Roman"/>
      <w:sz w:val="18"/>
      <w:lang w:val="en-US" w:eastAsia="zh-CN" w:bidi="ar-SA"/>
    </w:rPr>
  </w:style>
  <w:style w:type="paragraph" w:customStyle="1" w:styleId="156">
    <w:name w:val="标准书眉_偶数页"/>
    <w:basedOn w:val="119"/>
    <w:next w:val="1"/>
    <w:qFormat/>
    <w:uiPriority w:val="0"/>
    <w:pPr>
      <w:jc w:val="left"/>
    </w:pPr>
  </w:style>
  <w:style w:type="paragraph" w:customStyle="1" w:styleId="157">
    <w:name w:val="附录五级条标题"/>
    <w:basedOn w:val="129"/>
    <w:next w:val="87"/>
    <w:qFormat/>
    <w:uiPriority w:val="0"/>
    <w:pPr>
      <w:numPr>
        <w:ilvl w:val="6"/>
      </w:numPr>
      <w:outlineLvl w:val="6"/>
    </w:pPr>
  </w:style>
  <w:style w:type="paragraph" w:customStyle="1" w:styleId="158">
    <w:name w:val="工程建设表标题"/>
    <w:basedOn w:val="89"/>
    <w:qFormat/>
    <w:uiPriority w:val="0"/>
    <w:pPr>
      <w:jc w:val="center"/>
      <w:outlineLvl w:val="4"/>
    </w:pPr>
  </w:style>
  <w:style w:type="paragraph" w:customStyle="1" w:styleId="159">
    <w:name w:val="图说A"/>
    <w:basedOn w:val="21"/>
    <w:qFormat/>
    <w:uiPriority w:val="0"/>
    <w:pPr>
      <w:spacing w:before="120" w:after="240" w:line="312" w:lineRule="exact"/>
      <w:jc w:val="center"/>
    </w:pPr>
    <w:rPr>
      <w:rFonts w:ascii="E-F1" w:hAnsi="Times New Roman" w:eastAsia="黑体"/>
      <w:kern w:val="21"/>
    </w:rPr>
  </w:style>
  <w:style w:type="paragraph" w:customStyle="1" w:styleId="160">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161">
    <w:name w:val="正文表标题续表"/>
    <w:basedOn w:val="104"/>
    <w:next w:val="87"/>
    <w:qFormat/>
    <w:uiPriority w:val="0"/>
    <w:pPr>
      <w:numPr>
        <w:ilvl w:val="2"/>
        <w:numId w:val="20"/>
      </w:numPr>
    </w:pPr>
    <w:rPr>
      <w:b w:val="0"/>
    </w:rPr>
  </w:style>
  <w:style w:type="paragraph" w:customStyle="1" w:styleId="162">
    <w:name w:val="封面正文"/>
    <w:qFormat/>
    <w:uiPriority w:val="0"/>
    <w:pPr>
      <w:jc w:val="both"/>
    </w:pPr>
    <w:rPr>
      <w:rFonts w:ascii="Times New Roman" w:hAnsi="Times New Roman" w:eastAsia="宋体" w:cs="Times New Roman"/>
      <w:lang w:val="en-US" w:eastAsia="zh-CN" w:bidi="ar-SA"/>
    </w:rPr>
  </w:style>
  <w:style w:type="paragraph" w:customStyle="1" w:styleId="163">
    <w:name w:val="其他发布部门"/>
    <w:basedOn w:val="164"/>
    <w:qFormat/>
    <w:uiPriority w:val="0"/>
    <w:pPr>
      <w:spacing w:line="0" w:lineRule="atLeast"/>
    </w:pPr>
    <w:rPr>
      <w:rFonts w:ascii="黑体" w:eastAsia="黑体"/>
      <w:b w:val="0"/>
    </w:rPr>
  </w:style>
  <w:style w:type="paragraph" w:customStyle="1" w:styleId="164">
    <w:name w:val="发布部门"/>
    <w:next w:val="87"/>
    <w:qFormat/>
    <w:uiPriority w:val="0"/>
    <w:pPr>
      <w:jc w:val="center"/>
    </w:pPr>
    <w:rPr>
      <w:rFonts w:ascii="宋体" w:hAnsi="Times New Roman" w:eastAsia="宋体" w:cs="Times New Roman"/>
      <w:b/>
      <w:spacing w:val="20"/>
      <w:w w:val="135"/>
      <w:sz w:val="36"/>
      <w:lang w:val="en-US" w:eastAsia="zh-CN" w:bidi="ar-SA"/>
    </w:rPr>
  </w:style>
  <w:style w:type="paragraph" w:customStyle="1" w:styleId="165">
    <w:name w:val="名称"/>
    <w:basedOn w:val="100"/>
    <w:next w:val="87"/>
    <w:qFormat/>
    <w:uiPriority w:val="0"/>
    <w:pPr>
      <w:spacing w:line="460" w:lineRule="exact"/>
      <w:outlineLvl w:val="9"/>
    </w:pPr>
  </w:style>
  <w:style w:type="paragraph" w:customStyle="1" w:styleId="166">
    <w:name w:val="术语定义三级条标题"/>
    <w:basedOn w:val="137"/>
    <w:next w:val="87"/>
    <w:qFormat/>
    <w:uiPriority w:val="0"/>
    <w:pPr>
      <w:numPr>
        <w:ilvl w:val="2"/>
      </w:numPr>
      <w:tabs>
        <w:tab w:val="clear" w:pos="360"/>
      </w:tabs>
    </w:pPr>
  </w:style>
  <w:style w:type="paragraph" w:customStyle="1" w:styleId="167">
    <w:name w:val="封面标准代替信息"/>
    <w:basedOn w:val="145"/>
    <w:qFormat/>
    <w:uiPriority w:val="0"/>
    <w:pPr>
      <w:spacing w:before="57"/>
    </w:pPr>
    <w:rPr>
      <w:rFonts w:ascii="宋体"/>
      <w:sz w:val="21"/>
    </w:rPr>
  </w:style>
  <w:style w:type="paragraph" w:customStyle="1" w:styleId="168">
    <w:name w:val="列项——"/>
    <w:qFormat/>
    <w:uiPriority w:val="0"/>
    <w:pPr>
      <w:widowControl w:val="0"/>
      <w:numPr>
        <w:ilvl w:val="0"/>
        <w:numId w:val="21"/>
      </w:numPr>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169">
    <w:name w:val="术语定义四级条标题"/>
    <w:basedOn w:val="137"/>
    <w:next w:val="87"/>
    <w:qFormat/>
    <w:uiPriority w:val="0"/>
    <w:pPr>
      <w:numPr>
        <w:ilvl w:val="3"/>
      </w:numPr>
      <w:tabs>
        <w:tab w:val="left" w:pos="1077"/>
        <w:tab w:val="clear" w:pos="360"/>
      </w:tabs>
    </w:pPr>
  </w:style>
  <w:style w:type="paragraph" w:customStyle="1" w:styleId="170">
    <w:name w:val="标准书眉一"/>
    <w:qFormat/>
    <w:uiPriority w:val="0"/>
    <w:pPr>
      <w:jc w:val="both"/>
    </w:pPr>
    <w:rPr>
      <w:rFonts w:ascii="Times New Roman" w:hAnsi="Times New Roman" w:eastAsia="宋体" w:cs="Times New Roman"/>
      <w:lang w:val="en-US" w:eastAsia="zh-CN" w:bidi="ar-SA"/>
    </w:rPr>
  </w:style>
  <w:style w:type="paragraph" w:customStyle="1" w:styleId="171">
    <w:name w:val="五级无标题条"/>
    <w:basedOn w:val="1"/>
    <w:qFormat/>
    <w:uiPriority w:val="0"/>
    <w:pPr>
      <w:numPr>
        <w:ilvl w:val="6"/>
        <w:numId w:val="5"/>
      </w:numPr>
    </w:pPr>
    <w:rPr>
      <w:rFonts w:ascii="黑体" w:eastAsia="黑体" w:cs="宋体"/>
      <w:b/>
      <w:szCs w:val="21"/>
      <w:lang w:val="zh-CN"/>
    </w:rPr>
  </w:style>
  <w:style w:type="paragraph" w:customStyle="1" w:styleId="172">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173">
    <w:name w:val="条文说明"/>
    <w:basedOn w:val="165"/>
    <w:qFormat/>
    <w:uiPriority w:val="0"/>
  </w:style>
  <w:style w:type="paragraph" w:customStyle="1" w:styleId="174">
    <w:name w:val="附录表标题续表"/>
    <w:basedOn w:val="144"/>
    <w:next w:val="87"/>
    <w:qFormat/>
    <w:uiPriority w:val="0"/>
    <w:pPr>
      <w:numPr>
        <w:ilvl w:val="0"/>
        <w:numId w:val="22"/>
      </w:numPr>
      <w:tabs>
        <w:tab w:val="left" w:pos="360"/>
        <w:tab w:val="clear" w:pos="210"/>
      </w:tabs>
    </w:pPr>
    <w:rPr>
      <w:b w:val="0"/>
    </w:rPr>
  </w:style>
  <w:style w:type="paragraph" w:customStyle="1" w:styleId="175">
    <w:name w:val="cucd-0"/>
    <w:link w:val="176"/>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176">
    <w:name w:val="cucd-0 Char"/>
    <w:link w:val="175"/>
    <w:qFormat/>
    <w:uiPriority w:val="0"/>
    <w:rPr>
      <w:rFonts w:ascii="Times New Roman" w:hAnsi="Times New Roman" w:eastAsia="宋体" w:cs="Times New Roman"/>
      <w:kern w:val="2"/>
      <w:sz w:val="24"/>
      <w:szCs w:val="24"/>
    </w:rPr>
  </w:style>
  <w:style w:type="paragraph" w:customStyle="1" w:styleId="177">
    <w:name w:val="3级"/>
    <w:qFormat/>
    <w:uiPriority w:val="0"/>
    <w:pPr>
      <w:numPr>
        <w:ilvl w:val="2"/>
        <w:numId w:val="23"/>
      </w:numPr>
      <w:spacing w:before="240" w:beforeLines="100" w:line="360" w:lineRule="auto"/>
      <w:outlineLvl w:val="2"/>
    </w:pPr>
    <w:rPr>
      <w:rFonts w:ascii="Times New Roman" w:hAnsi="Times New Roman" w:eastAsia="宋体" w:cs="Times New Roman"/>
      <w:b/>
      <w:bCs/>
      <w:snapToGrid w:val="0"/>
      <w:sz w:val="21"/>
      <w:szCs w:val="32"/>
      <w:lang w:val="en-US" w:eastAsia="zh-CN" w:bidi="ar-SA"/>
    </w:rPr>
  </w:style>
  <w:style w:type="paragraph" w:customStyle="1" w:styleId="178">
    <w:name w:val="5级"/>
    <w:basedOn w:val="1"/>
    <w:qFormat/>
    <w:uiPriority w:val="0"/>
    <w:pPr>
      <w:numPr>
        <w:ilvl w:val="4"/>
        <w:numId w:val="23"/>
      </w:numPr>
      <w:ind w:firstLine="0" w:firstLineChars="0"/>
    </w:pPr>
    <w:rPr>
      <w:rFonts w:cs="宋体"/>
      <w:szCs w:val="21"/>
      <w:lang w:val="zh-CN"/>
    </w:rPr>
  </w:style>
  <w:style w:type="paragraph" w:customStyle="1" w:styleId="179">
    <w:name w:val="4级"/>
    <w:next w:val="1"/>
    <w:qFormat/>
    <w:uiPriority w:val="0"/>
    <w:pPr>
      <w:numPr>
        <w:ilvl w:val="3"/>
        <w:numId w:val="23"/>
      </w:numPr>
      <w:spacing w:line="300" w:lineRule="auto"/>
    </w:pPr>
    <w:rPr>
      <w:rFonts w:ascii="Times New Roman" w:hAnsi="Times New Roman" w:eastAsia="宋体" w:cs="Times New Roman"/>
      <w:bCs/>
      <w:kern w:val="2"/>
      <w:sz w:val="21"/>
      <w:szCs w:val="32"/>
      <w:lang w:val="en-US" w:eastAsia="zh-CN" w:bidi="ar-SA"/>
    </w:rPr>
  </w:style>
  <w:style w:type="paragraph" w:customStyle="1" w:styleId="180">
    <w:name w:val="cucd-3"/>
    <w:next w:val="181"/>
    <w:link w:val="182"/>
    <w:qFormat/>
    <w:uiPriority w:val="0"/>
    <w:pPr>
      <w:numPr>
        <w:ilvl w:val="2"/>
        <w:numId w:val="24"/>
      </w:numPr>
      <w:tabs>
        <w:tab w:val="left" w:pos="709"/>
      </w:tabs>
      <w:spacing w:line="360" w:lineRule="auto"/>
      <w:outlineLvl w:val="2"/>
    </w:pPr>
    <w:rPr>
      <w:rFonts w:ascii="Times New Roman" w:hAnsi="Times New Roman" w:eastAsia="宋体" w:cs="Times New Roman"/>
      <w:b/>
      <w:kern w:val="2"/>
      <w:sz w:val="28"/>
      <w:szCs w:val="24"/>
      <w:lang w:val="en-US" w:eastAsia="zh-CN" w:bidi="ar-SA"/>
    </w:rPr>
  </w:style>
  <w:style w:type="paragraph" w:customStyle="1" w:styleId="181">
    <w:name w:val="cucd-4"/>
    <w:next w:val="175"/>
    <w:qFormat/>
    <w:uiPriority w:val="0"/>
    <w:pPr>
      <w:numPr>
        <w:ilvl w:val="3"/>
        <w:numId w:val="24"/>
      </w:numPr>
      <w:tabs>
        <w:tab w:val="left" w:pos="851"/>
      </w:tabs>
      <w:spacing w:line="360" w:lineRule="auto"/>
      <w:outlineLvl w:val="3"/>
    </w:pPr>
    <w:rPr>
      <w:rFonts w:ascii="Times New Roman" w:hAnsi="Times New Roman" w:eastAsia="宋体" w:cs="Times New Roman"/>
      <w:b/>
      <w:kern w:val="2"/>
      <w:sz w:val="24"/>
      <w:szCs w:val="24"/>
      <w:lang w:val="en-US" w:eastAsia="zh-CN" w:bidi="ar-SA"/>
    </w:rPr>
  </w:style>
  <w:style w:type="character" w:customStyle="1" w:styleId="182">
    <w:name w:val="cucd-3 Char1"/>
    <w:link w:val="180"/>
    <w:qFormat/>
    <w:uiPriority w:val="0"/>
    <w:rPr>
      <w:rFonts w:ascii="Times New Roman" w:hAnsi="Times New Roman" w:eastAsia="宋体" w:cs="Times New Roman"/>
      <w:b/>
      <w:kern w:val="2"/>
      <w:sz w:val="28"/>
      <w:szCs w:val="24"/>
    </w:rPr>
  </w:style>
  <w:style w:type="paragraph" w:customStyle="1" w:styleId="183">
    <w:name w:val="一级无"/>
    <w:basedOn w:val="96"/>
    <w:qFormat/>
    <w:uiPriority w:val="0"/>
    <w:pPr>
      <w:numPr>
        <w:numId w:val="0"/>
      </w:numPr>
      <w:tabs>
        <w:tab w:val="clear" w:pos="440"/>
        <w:tab w:val="clear" w:pos="503"/>
        <w:tab w:val="clear" w:pos="525"/>
        <w:tab w:val="clear" w:pos="566"/>
        <w:tab w:val="clear" w:pos="997"/>
      </w:tabs>
      <w:jc w:val="left"/>
    </w:pPr>
    <w:rPr>
      <w:rFonts w:ascii="宋体" w:eastAsia="宋体"/>
      <w:b/>
      <w:szCs w:val="21"/>
    </w:rPr>
  </w:style>
  <w:style w:type="table" w:customStyle="1" w:styleId="184">
    <w:name w:val="网格型3"/>
    <w:basedOn w:val="3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5">
    <w:name w:val="3级条标题"/>
    <w:basedOn w:val="1"/>
    <w:link w:val="187"/>
    <w:qFormat/>
    <w:uiPriority w:val="0"/>
    <w:pPr>
      <w:numPr>
        <w:ilvl w:val="3"/>
        <w:numId w:val="4"/>
      </w:numPr>
      <w:ind w:firstLineChars="0"/>
    </w:pPr>
    <w:rPr>
      <w:rFonts w:ascii="黑体" w:hAnsi="黑体" w:eastAsia="黑体" w:cs="宋体"/>
      <w:szCs w:val="21"/>
      <w:lang w:val="zh-CN"/>
    </w:rPr>
  </w:style>
  <w:style w:type="paragraph" w:customStyle="1" w:styleId="186">
    <w:name w:val="样式 表头 + 居中"/>
    <w:basedOn w:val="93"/>
    <w:qFormat/>
    <w:uiPriority w:val="0"/>
    <w:pPr>
      <w:spacing w:before="0" w:after="0" w:line="360" w:lineRule="auto"/>
      <w:ind w:firstLine="0" w:firstLineChars="0"/>
      <w:jc w:val="center"/>
    </w:pPr>
    <w:rPr>
      <w:szCs w:val="20"/>
    </w:rPr>
  </w:style>
  <w:style w:type="character" w:customStyle="1" w:styleId="187">
    <w:name w:val="3级条标题 字符"/>
    <w:link w:val="185"/>
    <w:qFormat/>
    <w:uiPriority w:val="0"/>
    <w:rPr>
      <w:rFonts w:ascii="黑体" w:hAnsi="黑体" w:eastAsia="黑体" w:cs="宋体"/>
      <w:kern w:val="2"/>
      <w:sz w:val="21"/>
      <w:szCs w:val="21"/>
      <w:lang w:val="zh-CN"/>
    </w:rPr>
  </w:style>
  <w:style w:type="character" w:customStyle="1" w:styleId="188">
    <w:name w:val="未处理的提及1"/>
    <w:semiHidden/>
    <w:unhideWhenUsed/>
    <w:qFormat/>
    <w:uiPriority w:val="99"/>
    <w:rPr>
      <w:color w:val="605E5C"/>
      <w:shd w:val="clear" w:color="auto" w:fill="E1DFDD"/>
    </w:rPr>
  </w:style>
  <w:style w:type="paragraph" w:customStyle="1" w:styleId="189">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190">
    <w:name w:val="三级条标题 Char"/>
    <w:link w:val="94"/>
    <w:uiPriority w:val="99"/>
  </w:style>
  <w:style w:type="paragraph" w:customStyle="1" w:styleId="191">
    <w:name w:val="样式1"/>
    <w:basedOn w:val="1"/>
    <w:link w:val="192"/>
    <w:qFormat/>
    <w:uiPriority w:val="0"/>
    <w:pPr>
      <w:keepNext/>
      <w:keepLines/>
      <w:ind w:firstLine="0" w:firstLineChars="0"/>
      <w:outlineLvl w:val="2"/>
    </w:pPr>
    <w:rPr>
      <w:rFonts w:ascii="黑体" w:hAnsi="黑体" w:eastAsia="黑体"/>
      <w:bCs/>
      <w:szCs w:val="32"/>
    </w:rPr>
  </w:style>
  <w:style w:type="character" w:customStyle="1" w:styleId="192">
    <w:name w:val="样式1 字符"/>
    <w:basedOn w:val="39"/>
    <w:link w:val="191"/>
    <w:uiPriority w:val="0"/>
    <w:rPr>
      <w:rFonts w:ascii="黑体" w:hAnsi="黑体" w:eastAsia="黑体"/>
      <w:bCs/>
      <w:kern w:val="2"/>
      <w:sz w:val="21"/>
      <w:szCs w:val="32"/>
    </w:rPr>
  </w:style>
  <w:style w:type="paragraph" w:customStyle="1" w:styleId="193">
    <w:name w:val="样式3"/>
    <w:basedOn w:val="191"/>
    <w:link w:val="194"/>
    <w:qFormat/>
    <w:uiPriority w:val="0"/>
  </w:style>
  <w:style w:type="character" w:customStyle="1" w:styleId="194">
    <w:name w:val="样式3 字符"/>
    <w:basedOn w:val="192"/>
    <w:link w:val="193"/>
    <w:qFormat/>
    <w:uiPriority w:val="0"/>
    <w:rPr>
      <w:rFonts w:ascii="黑体" w:hAnsi="黑体" w:eastAsia="黑体"/>
      <w:kern w:val="2"/>
      <w:sz w:val="21"/>
      <w:szCs w:val="32"/>
    </w:rPr>
  </w:style>
  <w:style w:type="paragraph" w:customStyle="1" w:styleId="195">
    <w:name w:val="样式4"/>
    <w:basedOn w:val="1"/>
    <w:link w:val="196"/>
    <w:qFormat/>
    <w:uiPriority w:val="0"/>
    <w:pPr>
      <w:keepNext/>
      <w:keepLines/>
      <w:numPr>
        <w:ilvl w:val="3"/>
        <w:numId w:val="1"/>
      </w:numPr>
      <w:ind w:firstLine="0" w:firstLineChars="0"/>
      <w:outlineLvl w:val="3"/>
    </w:pPr>
    <w:rPr>
      <w:rFonts w:eastAsiaTheme="majorEastAsia" w:cstheme="majorBidi"/>
      <w:bCs/>
      <w:szCs w:val="28"/>
    </w:rPr>
  </w:style>
  <w:style w:type="character" w:customStyle="1" w:styleId="196">
    <w:name w:val="样式4 字符"/>
    <w:basedOn w:val="39"/>
    <w:link w:val="195"/>
    <w:uiPriority w:val="0"/>
    <w:rPr>
      <w:rFonts w:eastAsiaTheme="majorEastAsia" w:cstheme="majorBidi"/>
      <w:bCs/>
      <w:kern w:val="2"/>
      <w:sz w:val="21"/>
      <w:szCs w:val="28"/>
    </w:rPr>
  </w:style>
  <w:style w:type="paragraph" w:customStyle="1" w:styleId="197">
    <w:name w:val="0-样式1"/>
    <w:basedOn w:val="1"/>
    <w:next w:val="1"/>
    <w:qFormat/>
    <w:uiPriority w:val="0"/>
    <w:rPr>
      <w:rFonts w:ascii="黑体" w:hAnsi="黑体"/>
      <w:sz w:val="24"/>
    </w:rPr>
  </w:style>
  <w:style w:type="paragraph" w:customStyle="1" w:styleId="198">
    <w:name w:val="71e7dc79-1ff7-45e8-997d-0ebda3762b91"/>
    <w:basedOn w:val="3"/>
    <w:next w:val="199"/>
    <w:link w:val="200"/>
    <w:qFormat/>
    <w:uiPriority w:val="0"/>
    <w:pPr>
      <w:adjustRightInd w:val="0"/>
      <w:spacing w:line="288" w:lineRule="auto"/>
      <w:jc w:val="left"/>
    </w:pPr>
    <w:rPr>
      <w:rFonts w:ascii="微软雅黑" w:hAnsi="微软雅黑" w:eastAsia="微软雅黑"/>
      <w:b/>
      <w:color w:val="000000"/>
      <w:sz w:val="28"/>
    </w:rPr>
  </w:style>
  <w:style w:type="paragraph" w:customStyle="1" w:styleId="199">
    <w:name w:val="acbfdd8b-e11b-4d36-88ff-6049b138f862"/>
    <w:basedOn w:val="1"/>
    <w:link w:val="201"/>
    <w:qFormat/>
    <w:uiPriority w:val="0"/>
    <w:pPr>
      <w:adjustRightInd w:val="0"/>
      <w:spacing w:line="288" w:lineRule="auto"/>
      <w:ind w:firstLine="0"/>
      <w:jc w:val="left"/>
    </w:pPr>
    <w:rPr>
      <w:rFonts w:ascii="微软雅黑" w:hAnsi="微软雅黑" w:eastAsia="微软雅黑"/>
      <w:color w:val="000000"/>
      <w:sz w:val="22"/>
    </w:rPr>
  </w:style>
  <w:style w:type="character" w:customStyle="1" w:styleId="200">
    <w:name w:val="71e7dc79-1ff7-45e8-997d-0ebda3762b91 字符"/>
    <w:basedOn w:val="39"/>
    <w:link w:val="198"/>
    <w:qFormat/>
    <w:uiPriority w:val="0"/>
    <w:rPr>
      <w:rFonts w:ascii="微软雅黑" w:hAnsi="微软雅黑" w:eastAsia="微软雅黑" w:cstheme="majorBidi"/>
      <w:b/>
      <w:bCs/>
      <w:color w:val="000000"/>
      <w:kern w:val="2"/>
      <w:sz w:val="28"/>
      <w:szCs w:val="32"/>
    </w:rPr>
  </w:style>
  <w:style w:type="character" w:customStyle="1" w:styleId="201">
    <w:name w:val="acbfdd8b-e11b-4d36-88ff-6049b138f862 字符"/>
    <w:basedOn w:val="39"/>
    <w:link w:val="199"/>
    <w:qFormat/>
    <w:uiPriority w:val="0"/>
    <w:rPr>
      <w:rFonts w:ascii="微软雅黑" w:hAnsi="微软雅黑" w:eastAsia="微软雅黑"/>
      <w:color w:val="000000"/>
      <w:kern w:val="2"/>
      <w:sz w:val="22"/>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98F805-FBFE-4D40-9C50-BDC2B90E1CF1}">
  <ds:schemaRefs/>
</ds:datastoreItem>
</file>

<file path=docProps/app.xml><?xml version="1.0" encoding="utf-8"?>
<Properties xmlns="http://schemas.openxmlformats.org/officeDocument/2006/extended-properties" xmlns:vt="http://schemas.openxmlformats.org/officeDocument/2006/docPropsVTypes">
  <Template>Normal</Template>
  <Company>微软</Company>
  <Pages>17</Pages>
  <Words>10034</Words>
  <Characters>10692</Characters>
  <Lines>351</Lines>
  <Paragraphs>452</Paragraphs>
  <TotalTime>68</TotalTime>
  <ScaleCrop>false</ScaleCrop>
  <LinksUpToDate>false</LinksUpToDate>
  <CharactersWithSpaces>11044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2025-07-21T01:32:00Z</dcterms:created>
  <dc:creator>DELL</dc:creator>
  <cp:lastModifiedBy>夏天</cp:lastModifiedBy>
  <cp:lastPrinted>2025-07-25T01:10:45Z</cp:lastPrinted>
  <dcterms:modified xsi:type="dcterms:W3CDTF">2025-07-25T01:11:14Z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C00AEAA9E5C64B3EABD558A6664BF1D3_13</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6th/7th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http://www.zotero.org/styles/water-research</vt:lpwstr>
  </property>
  <property fmtid="{D5CDD505-2E9C-101B-9397-08002B2CF9AE}" pid="23" name="Mendeley Recent Style Name 9_1">
    <vt:lpwstr>Water Research</vt:lpwstr>
  </property>
  <property fmtid="{D5CDD505-2E9C-101B-9397-08002B2CF9AE}" pid="24" name="KSOTemplateDocerSaveRecord">
    <vt:lpwstr>eyJoZGlkIjoiNDc2YTI5NDdjZTc4OThiNmQxYzE2ZjNmOWMxZDk1OGQiLCJ1c2VySWQiOiIxMDgwMzg3NDM2In0=</vt:lpwstr>
  </property>
</Properties>
</file>