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82D6AE">
      <w:pPr>
        <w:rPr>
          <w:rFonts w:hint="default" w:eastAsia="宋体"/>
          <w:lang w:val="en-US" w:eastAsia="zh-CN"/>
        </w:rPr>
      </w:pPr>
      <w:bookmarkStart w:id="0" w:name="OLE_LINK3"/>
      <w:bookmarkStart w:id="1" w:name="OLE_LINK5"/>
      <w:bookmarkStart w:id="2" w:name="OLE_LINK4"/>
      <w:r>
        <w:rPr>
          <w:rFonts w:hint="default" w:ascii="Times New Roman" w:hAnsi="Times New Roman" w:cs="Times New Roman"/>
        </w:rPr>
        <w:t xml:space="preserve">ICS </w:t>
      </w:r>
      <w:r>
        <w:rPr>
          <w:rFonts w:hint="default" w:ascii="Times New Roman" w:hAnsi="Times New Roman" w:cs="Times New Roman"/>
          <w:lang w:val="en-US" w:eastAsia="zh-CN"/>
        </w:rPr>
        <w:t>13.030.</w:t>
      </w:r>
      <w:r>
        <w:rPr>
          <w:rFonts w:hint="eastAsia" w:cs="Times New Roman"/>
          <w:lang w:val="en-US" w:eastAsia="zh-CN"/>
        </w:rPr>
        <w:t>01</w:t>
      </w:r>
    </w:p>
    <w:p w14:paraId="1CD9976D">
      <w:pPr>
        <w:bidi w:val="0"/>
        <w:rPr>
          <w:rFonts w:hint="eastAsia"/>
          <w:lang w:val="en-US" w:eastAsia="zh-CN"/>
        </w:rPr>
      </w:pPr>
      <w:r>
        <w:rPr>
          <w:rFonts w:hint="eastAsia"/>
          <w:lang w:val="en-US" w:eastAsia="zh-CN"/>
        </w:rPr>
        <w:t>CSS Z00</w:t>
      </w:r>
    </w:p>
    <w:p w14:paraId="5C70C7D8">
      <w:pPr>
        <w:bidi w:val="0"/>
        <w:rPr>
          <w:rFonts w:hint="eastAsia"/>
          <w:lang w:val="en-US" w:eastAsia="zh-CN"/>
        </w:rPr>
      </w:pPr>
    </w:p>
    <w:p w14:paraId="1C62417A">
      <w:pPr>
        <w:bidi w:val="0"/>
        <w:rPr>
          <w:rFonts w:hint="eastAsia"/>
          <w:lang w:val="en-US" w:eastAsia="zh-CN"/>
        </w:rPr>
      </w:pPr>
    </w:p>
    <w:p w14:paraId="7F19DF17">
      <w:pPr>
        <w:bidi w:val="0"/>
        <w:rPr>
          <w:rFonts w:hint="default"/>
          <w:lang w:val="en-US" w:eastAsia="zh-CN"/>
        </w:rPr>
      </w:pPr>
    </w:p>
    <w:p w14:paraId="59F68EFD">
      <w:pPr>
        <w:bidi w:val="0"/>
        <w:jc w:val="distribute"/>
        <w:rPr>
          <w:rFonts w:hint="eastAsia" w:ascii="华文中宋" w:hAnsi="华文中宋" w:eastAsia="华文中宋" w:cs="华文中宋"/>
          <w:b/>
          <w:bCs/>
          <w:sz w:val="84"/>
          <w:szCs w:val="84"/>
        </w:rPr>
      </w:pPr>
      <w:r>
        <w:rPr>
          <w:rFonts w:hint="eastAsia" w:ascii="华文中宋" w:hAnsi="华文中宋" w:eastAsia="华文中宋" w:cs="华文中宋"/>
          <w:b/>
          <w:bCs/>
          <w:sz w:val="84"/>
          <w:szCs w:val="84"/>
        </w:rPr>
        <w:t>团体标准</w:t>
      </w:r>
    </w:p>
    <w:p w14:paraId="14459E8C">
      <w:pPr>
        <w:bidi w:val="0"/>
      </w:pPr>
    </w:p>
    <w:p w14:paraId="06C62B62">
      <w:pPr>
        <w:bidi w:val="0"/>
        <w:jc w:val="right"/>
        <w:rPr>
          <w:rFonts w:hint="default" w:ascii="Times New Roman" w:hAnsi="Times New Roman" w:cs="Times New Roman"/>
          <w:sz w:val="28"/>
          <w:szCs w:val="28"/>
        </w:rPr>
      </w:pPr>
      <w:r>
        <w:rPr>
          <w:rFonts w:hint="default" w:ascii="Times New Roman" w:hAnsi="Times New Roman" w:cs="Times New Roman"/>
          <w:sz w:val="28"/>
          <w:szCs w:val="28"/>
        </w:rPr>
        <w:t xml:space="preserve">T/ACEF </w:t>
      </w:r>
      <w:r>
        <w:rPr>
          <w:rFonts w:hint="eastAsia" w:ascii="Times New Roman" w:hAnsi="Times New Roman" w:cs="Times New Roman"/>
          <w:sz w:val="28"/>
          <w:szCs w:val="28"/>
          <w:lang w:val="en-US" w:eastAsia="zh-CN"/>
        </w:rPr>
        <w:t>×××</w:t>
      </w:r>
      <w:r>
        <w:rPr>
          <w:rFonts w:hint="default" w:ascii="Times New Roman" w:hAnsi="Times New Roman" w:eastAsia="黑体" w:cs="Times New Roman"/>
          <w:sz w:val="28"/>
          <w:szCs w:val="28"/>
          <w:lang w:eastAsia="zh-CN"/>
        </w:rPr>
        <w:t>—</w:t>
      </w:r>
      <w:r>
        <w:rPr>
          <w:rFonts w:hint="default" w:ascii="Times New Roman" w:hAnsi="Times New Roman" w:eastAsia="黑体" w:cs="Times New Roman"/>
          <w:sz w:val="28"/>
          <w:szCs w:val="28"/>
          <w:lang w:val="en-US" w:eastAsia="zh-CN"/>
        </w:rPr>
        <w:t>20</w:t>
      </w:r>
      <w:r>
        <w:rPr>
          <w:rFonts w:hint="eastAsia" w:ascii="Times New Roman" w:hAnsi="Times New Roman" w:cs="Times New Roman"/>
          <w:sz w:val="28"/>
          <w:szCs w:val="28"/>
          <w:lang w:val="en-US" w:eastAsia="zh-CN"/>
        </w:rPr>
        <w:t>××</w:t>
      </w:r>
    </w:p>
    <w:p w14:paraId="73763A2B">
      <w:pPr>
        <w:bidi w:val="0"/>
        <w:jc w:val="right"/>
        <w:rPr>
          <w:rFonts w:hint="eastAsia"/>
        </w:rPr>
      </w:pPr>
      <w:r>
        <w:rPr>
          <w:szCs w:val="21"/>
        </w:rPr>
        <mc:AlternateContent>
          <mc:Choice Requires="wps">
            <w:drawing>
              <wp:inline distT="0" distB="0" distL="114300" distR="114300">
                <wp:extent cx="6120130" cy="0"/>
                <wp:effectExtent l="0" t="4445" r="0" b="5080"/>
                <wp:docPr id="12" name="Line 1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inline>
            </w:drawing>
          </mc:Choice>
          <mc:Fallback>
            <w:pict>
              <v:line id="Line 15" o:spid="_x0000_s1026" o:spt="20" style="height:0pt;width:481.9pt;" filled="f" stroked="t" coordsize="21600,21600" o:gfxdata="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oqTWFtIAAAACAQAADwAAAAAAAAABACAAAAAiAAAAZHJzL2Rv&#10;d25yZXYueG1sUEsBAhQAFAAAAAgAh07iQELM/lnOAQAArwMAAA4AAAAAAAAAAQAgAAAAIQEAAGRy&#10;cy9lMm9Eb2MueG1sUEsFBgAAAAAGAAYAWQEAAGEFAAAAAA==&#10;">
                <v:fill on="f" focussize="0,0"/>
                <v:stroke color="#000000" joinstyle="round"/>
                <v:imagedata o:title=""/>
                <o:lock v:ext="edit" aspectratio="f"/>
                <w10:wrap type="none"/>
                <w10:anchorlock/>
              </v:line>
            </w:pict>
          </mc:Fallback>
        </mc:AlternateContent>
      </w:r>
    </w:p>
    <w:p w14:paraId="282EDCA9">
      <w:pPr>
        <w:bidi w:val="0"/>
      </w:pPr>
    </w:p>
    <w:p w14:paraId="03AA0C39">
      <w:pPr>
        <w:bidi w:val="0"/>
      </w:pPr>
    </w:p>
    <w:p w14:paraId="6C8795C3">
      <w:pPr>
        <w:keepNext w:val="0"/>
        <w:keepLines w:val="0"/>
        <w:pageBreakBefore w:val="0"/>
        <w:widowControl w:val="0"/>
        <w:kinsoku/>
        <w:wordWrap/>
        <w:overflowPunct/>
        <w:topLinePunct w:val="0"/>
        <w:autoSpaceDE/>
        <w:autoSpaceDN/>
        <w:bidi w:val="0"/>
        <w:adjustRightInd/>
        <w:snapToGrid/>
        <w:spacing w:after="567"/>
        <w:ind w:left="0" w:leftChars="0" w:right="0" w:rightChars="0" w:firstLine="0" w:firstLineChars="0"/>
        <w:jc w:val="center"/>
        <w:textAlignment w:val="auto"/>
        <w:rPr>
          <w:rFonts w:hint="eastAsia" w:ascii="黑体" w:hAnsi="黑体" w:eastAsia="黑体" w:cs="黑体"/>
          <w:sz w:val="48"/>
          <w:szCs w:val="48"/>
          <w:lang w:eastAsia="zh-CN"/>
        </w:rPr>
      </w:pPr>
      <w:r>
        <w:rPr>
          <w:rFonts w:hint="eastAsia" w:ascii="黑体" w:hAnsi="黑体" w:eastAsia="黑体" w:cs="黑体"/>
          <w:sz w:val="48"/>
          <w:szCs w:val="48"/>
          <w:lang w:val="en-US" w:eastAsia="zh-CN"/>
        </w:rPr>
        <w:t>锂渣用于地表矿坑回填和生态恢复技术指南</w:t>
      </w:r>
    </w:p>
    <w:p w14:paraId="17E29370">
      <w:pPr>
        <w:keepNext w:val="0"/>
        <w:keepLines w:val="0"/>
        <w:pageBreakBefore w:val="0"/>
        <w:widowControl w:val="0"/>
        <w:kinsoku/>
        <w:wordWrap/>
        <w:overflowPunct/>
        <w:topLinePunct w:val="0"/>
        <w:autoSpaceDE/>
        <w:autoSpaceDN/>
        <w:bidi w:val="0"/>
        <w:adjustRightInd/>
        <w:snapToGrid/>
        <w:spacing w:after="850" w:line="400" w:lineRule="exact"/>
        <w:ind w:left="0" w:leftChars="0" w:right="0" w:rightChars="0" w:firstLine="0" w:firstLineChars="0"/>
        <w:jc w:val="center"/>
        <w:textAlignment w:val="auto"/>
        <w:rPr>
          <w:rFonts w:hint="eastAsia" w:ascii="Times New Roman" w:hAnsi="Times New Roman" w:eastAsia="黑体" w:cs="Times New Roman"/>
          <w:sz w:val="28"/>
          <w:szCs w:val="28"/>
          <w:lang w:eastAsia="zh-CN"/>
        </w:rPr>
      </w:pPr>
      <w:r>
        <w:rPr>
          <w:rFonts w:hint="default" w:ascii="Times New Roman" w:hAnsi="Times New Roman" w:eastAsia="黑体" w:cs="Times New Roman"/>
          <w:sz w:val="28"/>
          <w:szCs w:val="28"/>
          <w:lang w:val="en-US" w:eastAsia="zh-CN"/>
        </w:rPr>
        <w:t>T</w:t>
      </w:r>
      <w:r>
        <w:rPr>
          <w:rFonts w:hint="default" w:ascii="Times New Roman" w:hAnsi="Times New Roman" w:eastAsia="黑体" w:cs="Times New Roman"/>
          <w:sz w:val="28"/>
          <w:szCs w:val="28"/>
        </w:rPr>
        <w:t xml:space="preserve">echnical </w:t>
      </w:r>
      <w:r>
        <w:rPr>
          <w:rFonts w:hint="eastAsia" w:eastAsia="黑体" w:cs="Times New Roman"/>
          <w:sz w:val="28"/>
          <w:szCs w:val="28"/>
          <w:lang w:val="en-US" w:eastAsia="zh-CN"/>
        </w:rPr>
        <w:t>g</w:t>
      </w:r>
      <w:r>
        <w:rPr>
          <w:rFonts w:hint="default" w:ascii="Times New Roman" w:hAnsi="Times New Roman" w:eastAsia="黑体" w:cs="Times New Roman"/>
          <w:sz w:val="28"/>
          <w:szCs w:val="28"/>
        </w:rPr>
        <w:t xml:space="preserve">uidelines for </w:t>
      </w:r>
      <w:r>
        <w:rPr>
          <w:rFonts w:hint="default" w:ascii="Times New Roman" w:hAnsi="Times New Roman" w:eastAsia="黑体" w:cs="Times New Roman"/>
          <w:sz w:val="28"/>
          <w:szCs w:val="28"/>
          <w:lang w:val="en-US" w:eastAsia="zh-CN"/>
        </w:rPr>
        <w:t xml:space="preserve">backfill and </w:t>
      </w:r>
      <w:r>
        <w:rPr>
          <w:rFonts w:hint="default" w:ascii="Times New Roman" w:hAnsi="Times New Roman" w:eastAsia="黑体" w:cs="Times New Roman"/>
          <w:sz w:val="28"/>
          <w:szCs w:val="28"/>
        </w:rPr>
        <w:t>ecological restoration</w:t>
      </w:r>
      <w:r>
        <w:rPr>
          <w:rFonts w:hint="default" w:ascii="Times New Roman" w:hAnsi="Times New Roman" w:eastAsia="黑体" w:cs="Times New Roman"/>
          <w:sz w:val="28"/>
          <w:szCs w:val="28"/>
          <w:lang w:val="en-US" w:eastAsia="zh-CN"/>
        </w:rPr>
        <w:t xml:space="preserve"> of surface mine pit with </w:t>
      </w:r>
      <w:r>
        <w:rPr>
          <w:rFonts w:hint="default" w:ascii="Times New Roman" w:hAnsi="Times New Roman" w:eastAsia="黑体" w:cs="Times New Roman"/>
          <w:sz w:val="28"/>
          <w:szCs w:val="28"/>
        </w:rPr>
        <w:t>lithium slag</w:t>
      </w:r>
    </w:p>
    <w:p w14:paraId="3AFDF8A2">
      <w:pPr>
        <w:bidi w:val="0"/>
        <w:ind w:left="0" w:leftChars="0" w:right="0" w:rightChars="0" w:firstLine="0" w:firstLineChars="0"/>
        <w:jc w:val="center"/>
        <w:rPr>
          <w:rFonts w:hint="eastAsia" w:ascii="黑体" w:hAnsi="黑体" w:eastAsia="黑体" w:cs="黑体"/>
          <w:sz w:val="28"/>
          <w:szCs w:val="28"/>
        </w:rPr>
      </w:pPr>
      <w:r>
        <w:rPr>
          <w:rFonts w:hint="eastAsia" w:ascii="黑体" w:hAnsi="黑体" w:eastAsia="黑体" w:cs="黑体"/>
          <w:sz w:val="28"/>
          <w:szCs w:val="28"/>
        </w:rPr>
        <w:t>（</w:t>
      </w:r>
      <w:r>
        <w:rPr>
          <w:rFonts w:hint="eastAsia" w:ascii="黑体" w:hAnsi="黑体" w:eastAsia="黑体" w:cs="黑体"/>
          <w:sz w:val="28"/>
          <w:szCs w:val="28"/>
          <w:lang w:val="en-US" w:eastAsia="zh-CN"/>
        </w:rPr>
        <w:t>XXXX</w:t>
      </w:r>
      <w:r>
        <w:rPr>
          <w:rFonts w:hint="eastAsia" w:ascii="黑体" w:hAnsi="黑体" w:eastAsia="黑体" w:cs="黑体"/>
          <w:sz w:val="28"/>
          <w:szCs w:val="28"/>
        </w:rPr>
        <w:t>稿）</w:t>
      </w:r>
    </w:p>
    <w:p w14:paraId="0E121196">
      <w:pPr>
        <w:bidi w:val="0"/>
        <w:ind w:left="0" w:leftChars="0" w:right="0" w:rightChars="0" w:firstLine="0" w:firstLineChars="0"/>
        <w:jc w:val="center"/>
        <w:rPr>
          <w:rFonts w:hint="eastAsia" w:ascii="黑体" w:hAnsi="黑体" w:eastAsia="黑体" w:cs="黑体"/>
          <w:sz w:val="28"/>
          <w:szCs w:val="28"/>
        </w:rPr>
      </w:pPr>
    </w:p>
    <w:p w14:paraId="1AD882CD">
      <w:pPr>
        <w:bidi w:val="0"/>
        <w:ind w:left="0" w:leftChars="0" w:right="0" w:rightChars="0" w:firstLine="0" w:firstLineChars="0"/>
        <w:jc w:val="both"/>
        <w:rPr>
          <w:rFonts w:hint="eastAsia" w:ascii="黑体" w:hAnsi="黑体" w:eastAsia="黑体" w:cs="黑体"/>
          <w:sz w:val="28"/>
          <w:szCs w:val="28"/>
        </w:rPr>
      </w:pPr>
    </w:p>
    <w:p w14:paraId="56F691DA">
      <w:pPr>
        <w:bidi w:val="0"/>
      </w:pPr>
    </w:p>
    <w:p w14:paraId="57362AA7">
      <w:pPr>
        <w:bidi w:val="0"/>
      </w:pPr>
    </w:p>
    <w:p w14:paraId="4347E6E7">
      <w:pPr>
        <w:bidi w:val="0"/>
      </w:pPr>
    </w:p>
    <w:p w14:paraId="3D6FB240">
      <w:pPr>
        <w:tabs>
          <w:tab w:val="left" w:pos="3927"/>
        </w:tabs>
        <w:bidi w:val="0"/>
        <w:jc w:val="left"/>
        <w:rPr>
          <w:rFonts w:hint="eastAsia" w:eastAsia="宋体"/>
          <w:lang w:eastAsia="zh-CN"/>
        </w:rPr>
      </w:pPr>
    </w:p>
    <w:p w14:paraId="797A402F">
      <w:pPr>
        <w:tabs>
          <w:tab w:val="left" w:pos="3927"/>
        </w:tabs>
        <w:bidi w:val="0"/>
        <w:jc w:val="left"/>
        <w:rPr>
          <w:rFonts w:hint="default" w:eastAsia="宋体"/>
          <w:lang w:val="en-US" w:eastAsia="zh-CN"/>
        </w:rPr>
      </w:pPr>
      <w:r>
        <w:rPr>
          <w:rFonts w:hint="eastAsia"/>
          <w:lang w:val="en-US" w:eastAsia="zh-CN"/>
        </w:rPr>
        <w:t xml:space="preserve"> </w:t>
      </w:r>
    </w:p>
    <w:p w14:paraId="70E7C7D1">
      <w:pPr>
        <w:keepNext w:val="0"/>
        <w:keepLines w:val="0"/>
        <w:pageBreakBefore w:val="0"/>
        <w:widowControl w:val="0"/>
        <w:tabs>
          <w:tab w:val="left" w:pos="3927"/>
        </w:tabs>
        <w:kinsoku/>
        <w:wordWrap/>
        <w:overflowPunct/>
        <w:topLinePunct w:val="0"/>
        <w:autoSpaceDE/>
        <w:autoSpaceDN/>
        <w:bidi w:val="0"/>
        <w:adjustRightInd w:val="0"/>
        <w:snapToGrid w:val="0"/>
        <w:ind w:left="0" w:leftChars="0" w:right="0" w:rightChars="0" w:firstLine="0" w:firstLineChars="0"/>
        <w:jc w:val="center"/>
        <w:textAlignment w:val="auto"/>
        <w:rPr>
          <w:rFonts w:hint="eastAsia" w:ascii="黑体" w:hAnsi="黑体" w:eastAsia="黑体" w:cs="黑体"/>
          <w:sz w:val="28"/>
          <w:szCs w:val="28"/>
          <w:lang w:eastAsia="zh-CN"/>
        </w:rPr>
      </w:pPr>
      <w:r>
        <w:rPr>
          <w:rFonts w:hint="default" w:ascii="Times New Roman" w:hAnsi="Times New Roman" w:eastAsia="黑体" w:cs="Times New Roman"/>
          <w:sz w:val="28"/>
          <w:szCs w:val="28"/>
          <w:lang w:val="en-US" w:eastAsia="zh-CN"/>
        </w:rPr>
        <w:t>20</w:t>
      </w:r>
      <w:r>
        <w:rPr>
          <w:rFonts w:hint="eastAsia" w:ascii="Times New Roman" w:hAnsi="Times New Roman" w:eastAsia="黑体" w:cs="Times New Roman"/>
          <w:sz w:val="28"/>
          <w:szCs w:val="28"/>
          <w:lang w:eastAsia="zh-CN"/>
        </w:rPr>
        <w:t>××</w:t>
      </w:r>
      <w:r>
        <w:rPr>
          <w:rFonts w:hint="default" w:ascii="Times New Roman" w:hAnsi="Times New Roman" w:eastAsia="黑体" w:cs="Times New Roman"/>
          <w:sz w:val="28"/>
          <w:szCs w:val="28"/>
          <w:lang w:eastAsia="zh-CN"/>
        </w:rPr>
        <w:t>-</w:t>
      </w:r>
      <w:r>
        <w:rPr>
          <w:rFonts w:hint="eastAsia" w:ascii="Times New Roman" w:hAnsi="Times New Roman" w:eastAsia="黑体" w:cs="Times New Roman"/>
          <w:sz w:val="28"/>
          <w:szCs w:val="28"/>
          <w:lang w:eastAsia="zh-CN"/>
        </w:rPr>
        <w:t>×</w:t>
      </w:r>
      <w:r>
        <w:rPr>
          <w:rFonts w:hint="default" w:ascii="Times New Roman" w:hAnsi="Times New Roman" w:eastAsia="黑体" w:cs="Times New Roman"/>
          <w:sz w:val="28"/>
          <w:szCs w:val="28"/>
          <w:lang w:eastAsia="zh-CN"/>
        </w:rPr>
        <w:t>-</w:t>
      </w:r>
      <w:r>
        <w:rPr>
          <w:rFonts w:hint="eastAsia" w:ascii="Times New Roman" w:hAnsi="Times New Roman" w:eastAsia="黑体" w:cs="Times New Roman"/>
          <w:sz w:val="28"/>
          <w:szCs w:val="28"/>
          <w:lang w:eastAsia="zh-CN"/>
        </w:rPr>
        <w:t>×</w:t>
      </w:r>
      <w:r>
        <w:rPr>
          <w:rFonts w:hint="eastAsia" w:ascii="黑体" w:hAnsi="黑体" w:eastAsia="黑体" w:cs="黑体"/>
          <w:sz w:val="28"/>
          <w:szCs w:val="28"/>
          <w:lang w:eastAsia="zh-CN"/>
        </w:rPr>
        <w:t>发布</w:t>
      </w:r>
      <w:r>
        <w:rPr>
          <w:rFonts w:hint="eastAsia" w:ascii="黑体" w:hAnsi="黑体" w:eastAsia="黑体" w:cs="黑体"/>
          <w:sz w:val="28"/>
          <w:szCs w:val="28"/>
          <w:lang w:val="en-US" w:eastAsia="zh-CN"/>
        </w:rPr>
        <w:t xml:space="preserve">                                     </w:t>
      </w:r>
      <w:r>
        <w:rPr>
          <w:rFonts w:hint="default" w:ascii="Times New Roman" w:hAnsi="Times New Roman" w:eastAsia="黑体" w:cs="Times New Roman"/>
          <w:sz w:val="28"/>
          <w:szCs w:val="28"/>
          <w:lang w:val="en-US" w:eastAsia="zh-CN"/>
        </w:rPr>
        <w:t>20</w:t>
      </w:r>
      <w:r>
        <w:rPr>
          <w:rFonts w:hint="eastAsia" w:ascii="Times New Roman" w:hAnsi="Times New Roman" w:eastAsia="黑体" w:cs="Times New Roman"/>
          <w:sz w:val="28"/>
          <w:szCs w:val="28"/>
          <w:lang w:eastAsia="zh-CN"/>
        </w:rPr>
        <w:t>××</w:t>
      </w:r>
      <w:r>
        <w:rPr>
          <w:rFonts w:hint="default" w:ascii="Times New Roman" w:hAnsi="Times New Roman" w:eastAsia="黑体" w:cs="Times New Roman"/>
          <w:sz w:val="28"/>
          <w:szCs w:val="28"/>
          <w:lang w:eastAsia="zh-CN"/>
        </w:rPr>
        <w:t>-</w:t>
      </w:r>
      <w:r>
        <w:rPr>
          <w:rFonts w:hint="eastAsia" w:ascii="Times New Roman" w:hAnsi="Times New Roman" w:eastAsia="黑体" w:cs="Times New Roman"/>
          <w:sz w:val="28"/>
          <w:szCs w:val="28"/>
          <w:lang w:eastAsia="zh-CN"/>
        </w:rPr>
        <w:t>×</w:t>
      </w:r>
      <w:r>
        <w:rPr>
          <w:rFonts w:hint="default" w:ascii="Times New Roman" w:hAnsi="Times New Roman" w:eastAsia="黑体" w:cs="Times New Roman"/>
          <w:sz w:val="28"/>
          <w:szCs w:val="28"/>
          <w:lang w:eastAsia="zh-CN"/>
        </w:rPr>
        <w:t>-</w:t>
      </w:r>
      <w:r>
        <w:rPr>
          <w:rFonts w:hint="eastAsia" w:ascii="Times New Roman" w:hAnsi="Times New Roman" w:eastAsia="黑体" w:cs="Times New Roman"/>
          <w:sz w:val="28"/>
          <w:szCs w:val="28"/>
          <w:lang w:eastAsia="zh-CN"/>
        </w:rPr>
        <w:t>×</w:t>
      </w:r>
      <w:r>
        <w:rPr>
          <w:rFonts w:hint="eastAsia" w:ascii="黑体" w:hAnsi="黑体" w:eastAsia="黑体" w:cs="黑体"/>
          <w:sz w:val="28"/>
          <w:szCs w:val="28"/>
          <w:lang w:eastAsia="zh-CN"/>
        </w:rPr>
        <w:t>实施</w:t>
      </w:r>
    </w:p>
    <w:p w14:paraId="7B5D3A7A">
      <w:pPr>
        <w:keepNext w:val="0"/>
        <w:keepLines w:val="0"/>
        <w:pageBreakBefore w:val="0"/>
        <w:widowControl w:val="0"/>
        <w:tabs>
          <w:tab w:val="left" w:pos="3927"/>
        </w:tabs>
        <w:kinsoku/>
        <w:wordWrap/>
        <w:overflowPunct/>
        <w:topLinePunct w:val="0"/>
        <w:autoSpaceDE/>
        <w:autoSpaceDN/>
        <w:bidi w:val="0"/>
        <w:adjustRightInd w:val="0"/>
        <w:snapToGrid w:val="0"/>
        <w:spacing w:line="120" w:lineRule="auto"/>
        <w:ind w:left="0" w:leftChars="0" w:right="0" w:rightChars="0" w:firstLine="0" w:firstLineChars="0"/>
        <w:jc w:val="center"/>
        <w:textAlignment w:val="auto"/>
        <w:rPr>
          <w:rFonts w:hint="eastAsia" w:ascii="黑体" w:hAnsi="黑体" w:eastAsia="黑体" w:cs="黑体"/>
          <w:sz w:val="28"/>
          <w:szCs w:val="28"/>
          <w:lang w:val="en-US" w:eastAsia="zh-CN"/>
        </w:rPr>
      </w:pPr>
      <w:r>
        <w:rPr>
          <w:szCs w:val="21"/>
        </w:rPr>
        <mc:AlternateContent>
          <mc:Choice Requires="wps">
            <w:drawing>
              <wp:inline distT="0" distB="0" distL="114300" distR="114300">
                <wp:extent cx="6120130" cy="0"/>
                <wp:effectExtent l="0" t="4445" r="0" b="5080"/>
                <wp:docPr id="4" name="Line 1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inline>
            </w:drawing>
          </mc:Choice>
          <mc:Fallback>
            <w:pict>
              <v:line id="Line 15" o:spid="_x0000_s1026" o:spt="20" style="height:0pt;width:481.9pt;" filled="f" stroked="t" coordsize="21600,21600" o:gfxdata="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oqTWFtIAAAACAQAADwAAAAAAAAABACAAAAAiAAAAZHJzL2Rv&#10;d25yZXYueG1sUEsBAhQAFAAAAAgAh07iQNlxCN7OAQAArgMAAA4AAAAAAAAAAQAgAAAAIQEAAGRy&#10;cy9lMm9Eb2MueG1sUEsFBgAAAAAGAAYAWQEAAGEFAAAAAA==&#10;">
                <v:fill on="f" focussize="0,0"/>
                <v:stroke color="#000000" joinstyle="round"/>
                <v:imagedata o:title=""/>
                <o:lock v:ext="edit" aspectratio="f"/>
                <w10:wrap type="none"/>
                <w10:anchorlock/>
              </v:line>
            </w:pict>
          </mc:Fallback>
        </mc:AlternateContent>
      </w:r>
    </w:p>
    <w:p w14:paraId="428AFF3A">
      <w:pPr>
        <w:bidi w:val="0"/>
        <w:rPr>
          <w:rFonts w:hint="eastAsia"/>
          <w:lang w:val="en-US" w:eastAsia="zh-CN"/>
        </w:rPr>
      </w:pPr>
    </w:p>
    <w:p w14:paraId="7F8C9F88">
      <w:pPr>
        <w:bidi w:val="0"/>
        <w:rPr>
          <w:rFonts w:hint="eastAsia"/>
          <w:lang w:val="en-US" w:eastAsia="zh-CN"/>
        </w:rPr>
      </w:pPr>
    </w:p>
    <w:p w14:paraId="3F1F0FE6">
      <w:pPr>
        <w:keepNext w:val="0"/>
        <w:keepLines w:val="0"/>
        <w:pageBreakBefore w:val="0"/>
        <w:widowControl w:val="0"/>
        <w:tabs>
          <w:tab w:val="center" w:pos="4819"/>
        </w:tabs>
        <w:kinsoku/>
        <w:wordWrap/>
        <w:overflowPunct/>
        <w:topLinePunct w:val="0"/>
        <w:autoSpaceDE/>
        <w:autoSpaceDN/>
        <w:bidi w:val="0"/>
        <w:adjustRightInd w:val="0"/>
        <w:snapToGrid w:val="0"/>
        <w:ind w:left="0" w:leftChars="0" w:right="0" w:rightChars="0" w:firstLine="0" w:firstLineChars="0"/>
        <w:jc w:val="center"/>
        <w:textAlignment w:val="auto"/>
        <w:rPr>
          <w:rFonts w:hint="eastAsia"/>
          <w:lang w:val="en-US" w:eastAsia="zh-CN"/>
        </w:rPr>
        <w:sectPr>
          <w:headerReference r:id="rId3" w:type="default"/>
          <w:headerReference r:id="rId4" w:type="even"/>
          <w:pgSz w:w="11906" w:h="16838"/>
          <w:pgMar w:top="567" w:right="850" w:bottom="1134" w:left="1417" w:header="0" w:footer="0" w:gutter="0"/>
          <w:pgNumType w:fmt="decimal" w:start="1"/>
          <w:cols w:space="0" w:num="1"/>
          <w:rtlGutter w:val="0"/>
          <w:docGrid w:type="lines" w:linePitch="312" w:charSpace="0"/>
        </w:sectPr>
      </w:pPr>
      <w:r>
        <w:rPr>
          <w:rFonts w:hint="eastAsia" w:ascii="华文中宋" w:hAnsi="华文中宋" w:eastAsia="华文中宋" w:cs="华文中宋"/>
          <w:sz w:val="30"/>
          <w:szCs w:val="30"/>
          <w:lang w:val="en-US" w:eastAsia="zh-CN"/>
        </w:rPr>
        <w:t>中华环保联合会</w:t>
      </w:r>
      <w:r>
        <w:rPr>
          <w:rFonts w:hint="eastAsia"/>
          <w:lang w:val="en-US" w:eastAsia="zh-CN"/>
        </w:rPr>
        <w:t xml:space="preserve">   </w:t>
      </w:r>
      <w:r>
        <w:rPr>
          <w:rFonts w:hint="eastAsia" w:ascii="黑体" w:hAnsi="黑体" w:eastAsia="黑体" w:cs="黑体"/>
          <w:sz w:val="28"/>
          <w:szCs w:val="28"/>
          <w:lang w:val="en-US" w:eastAsia="zh-CN"/>
        </w:rPr>
        <w:t>发 布</w:t>
      </w:r>
    </w:p>
    <w:bookmarkEnd w:id="0"/>
    <w:bookmarkEnd w:id="1"/>
    <w:bookmarkEnd w:id="2"/>
    <w:p w14:paraId="6EF14D12">
      <w:pPr>
        <w:widowControl/>
        <w:spacing w:line="720" w:lineRule="auto"/>
        <w:jc w:val="center"/>
        <w:rPr>
          <w:rFonts w:hint="eastAsia" w:eastAsia="黑体"/>
          <w:color w:val="000000" w:themeColor="text1"/>
          <w:sz w:val="32"/>
          <w:szCs w:val="32"/>
          <w:lang w:val="zh-CN"/>
          <w14:textFill>
            <w14:solidFill>
              <w14:schemeClr w14:val="tx1"/>
            </w14:solidFill>
          </w14:textFill>
        </w:rPr>
        <w:sectPr>
          <w:headerReference r:id="rId5" w:type="default"/>
          <w:footerReference r:id="rId6" w:type="default"/>
          <w:pgSz w:w="11906" w:h="16838"/>
          <w:pgMar w:top="1440" w:right="1800" w:bottom="1440" w:left="1800" w:header="851" w:footer="992" w:gutter="0"/>
          <w:pgNumType w:fmt="decimal" w:start="1"/>
          <w:cols w:space="720" w:num="1"/>
          <w:docGrid w:type="lines" w:linePitch="312" w:charSpace="0"/>
        </w:sectPr>
      </w:pPr>
    </w:p>
    <w:p w14:paraId="7C773C0F">
      <w:pPr>
        <w:keepNext/>
        <w:keepLines w:val="0"/>
        <w:pageBreakBefore/>
        <w:widowControl w:val="0"/>
        <w:shd w:val="clear"/>
        <w:kinsoku/>
        <w:wordWrap/>
        <w:overflowPunct w:val="0"/>
        <w:topLinePunct w:val="0"/>
        <w:autoSpaceDE/>
        <w:autoSpaceDN/>
        <w:bidi w:val="0"/>
        <w:adjustRightInd/>
        <w:snapToGrid/>
        <w:spacing w:before="850" w:after="680" w:line="240" w:lineRule="auto"/>
        <w:jc w:val="center"/>
        <w:textAlignment w:val="auto"/>
        <w:outlineLvl w:val="9"/>
        <w:rPr>
          <w:rFonts w:hint="eastAsia" w:ascii="黑体" w:hAnsi="黑体" w:eastAsia="黑体" w:cs="黑体"/>
          <w:sz w:val="36"/>
          <w:szCs w:val="21"/>
        </w:rPr>
      </w:pPr>
      <w:bookmarkStart w:id="3" w:name="_Toc23063"/>
      <w:bookmarkStart w:id="4" w:name="_Toc116743248"/>
      <w:bookmarkStart w:id="5" w:name="_Toc1268"/>
      <w:bookmarkStart w:id="6" w:name="_Toc117174347"/>
      <w:bookmarkStart w:id="7" w:name="_Toc18914"/>
      <w:r>
        <w:rPr>
          <w:rFonts w:hint="eastAsia" w:ascii="黑体" w:hAnsi="黑体" w:eastAsia="黑体" w:cs="黑体"/>
          <w:sz w:val="36"/>
          <w:szCs w:val="21"/>
        </w:rPr>
        <w:t>目  次</w:t>
      </w:r>
      <w:bookmarkEnd w:id="3"/>
      <w:bookmarkEnd w:id="4"/>
      <w:bookmarkEnd w:id="5"/>
      <w:bookmarkEnd w:id="6"/>
      <w:bookmarkEnd w:id="7"/>
    </w:p>
    <w:p w14:paraId="6885138C">
      <w:pPr>
        <w:pStyle w:val="10"/>
        <w:keepNext w:val="0"/>
        <w:keepLines w:val="0"/>
        <w:pageBreakBefore w:val="0"/>
        <w:widowControl w:val="0"/>
        <w:tabs>
          <w:tab w:val="right" w:leader="dot" w:pos="9355"/>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fldChar w:fldCharType="begin"/>
      </w:r>
      <w:r>
        <w:rPr>
          <w:rFonts w:hint="default" w:ascii="Times New Roman" w:hAnsi="Times New Roman" w:eastAsia="宋体" w:cs="Times New Roman"/>
          <w:szCs w:val="21"/>
        </w:rPr>
        <w:instrText xml:space="preserve"> HYPERLINK \l _Toc19430 </w:instrText>
      </w:r>
      <w:r>
        <w:rPr>
          <w:rFonts w:hint="default" w:ascii="Times New Roman" w:hAnsi="Times New Roman" w:eastAsia="宋体" w:cs="Times New Roman"/>
          <w:szCs w:val="21"/>
        </w:rPr>
        <w:fldChar w:fldCharType="separate"/>
      </w:r>
      <w:r>
        <w:rPr>
          <w:rFonts w:hint="eastAsia" w:cs="Times New Roman"/>
          <w:lang w:val="en-US" w:eastAsia="zh-CN"/>
        </w:rPr>
        <w:t>目次</w:t>
      </w:r>
      <w:r>
        <w:rPr>
          <w:rFonts w:hint="default" w:ascii="Times New Roman" w:hAnsi="Times New Roman" w:eastAsia="宋体" w:cs="Times New Roman"/>
        </w:rPr>
        <w:tab/>
      </w:r>
      <w:r>
        <w:rPr>
          <w:rFonts w:hint="default" w:ascii="Times New Roman" w:hAnsi="Times New Roman" w:eastAsia="宋体" w:cs="Times New Roman"/>
          <w:color w:val="000000" w:themeColor="text1"/>
          <w:szCs w:val="21"/>
          <w14:textFill>
            <w14:solidFill>
              <w14:schemeClr w14:val="tx1"/>
            </w14:solidFill>
          </w14:textFill>
        </w:rPr>
        <w:fldChar w:fldCharType="end"/>
      </w:r>
      <w:r>
        <w:rPr>
          <w:rFonts w:hint="eastAsia" w:cs="Times New Roman"/>
          <w:color w:val="000000" w:themeColor="text1"/>
          <w:szCs w:val="21"/>
          <w:lang w:val="en-US" w:eastAsia="zh-CN"/>
          <w14:textFill>
            <w14:solidFill>
              <w14:schemeClr w14:val="tx1"/>
            </w14:solidFill>
          </w14:textFill>
        </w:rPr>
        <w:t>I</w:t>
      </w:r>
    </w:p>
    <w:p w14:paraId="4DB16933">
      <w:pPr>
        <w:pStyle w:val="10"/>
        <w:keepNext w:val="0"/>
        <w:keepLines w:val="0"/>
        <w:pageBreakBefore w:val="0"/>
        <w:widowControl w:val="0"/>
        <w:tabs>
          <w:tab w:val="right" w:leader="dot" w:pos="9355"/>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fldChar w:fldCharType="begin"/>
      </w:r>
      <w:r>
        <w:rPr>
          <w:rFonts w:hint="default" w:ascii="Times New Roman" w:hAnsi="Times New Roman" w:eastAsia="宋体" w:cs="Times New Roman"/>
          <w:szCs w:val="21"/>
        </w:rPr>
        <w:instrText xml:space="preserve"> HYPERLINK \l _Toc19430 </w:instrText>
      </w:r>
      <w:r>
        <w:rPr>
          <w:rFonts w:hint="default" w:ascii="Times New Roman" w:hAnsi="Times New Roman" w:eastAsia="宋体" w:cs="Times New Roman"/>
          <w:szCs w:val="21"/>
        </w:rPr>
        <w:fldChar w:fldCharType="separate"/>
      </w:r>
      <w:r>
        <w:rPr>
          <w:rFonts w:hint="eastAsia" w:cs="Times New Roman"/>
          <w:lang w:val="en-US" w:eastAsia="zh-CN"/>
        </w:rPr>
        <w:t>前言</w:t>
      </w:r>
      <w:r>
        <w:rPr>
          <w:rFonts w:hint="default" w:ascii="Times New Roman" w:hAnsi="Times New Roman" w:eastAsia="宋体" w:cs="Times New Roman"/>
        </w:rPr>
        <w:tab/>
      </w:r>
      <w:r>
        <w:rPr>
          <w:rFonts w:hint="default" w:ascii="Times New Roman" w:hAnsi="Times New Roman" w:eastAsia="宋体" w:cs="Times New Roman"/>
          <w:color w:val="000000" w:themeColor="text1"/>
          <w:szCs w:val="21"/>
          <w14:textFill>
            <w14:solidFill>
              <w14:schemeClr w14:val="tx1"/>
            </w14:solidFill>
          </w14:textFill>
        </w:rPr>
        <w:fldChar w:fldCharType="end"/>
      </w:r>
      <w:r>
        <w:rPr>
          <w:rFonts w:hint="eastAsia" w:cs="Times New Roman"/>
          <w:color w:val="000000" w:themeColor="text1"/>
          <w:szCs w:val="21"/>
          <w:lang w:val="en-US" w:eastAsia="zh-CN"/>
          <w14:textFill>
            <w14:solidFill>
              <w14:schemeClr w14:val="tx1"/>
            </w14:solidFill>
          </w14:textFill>
        </w:rPr>
        <w:t>II</w:t>
      </w:r>
    </w:p>
    <w:p w14:paraId="62F39A9E">
      <w:pPr>
        <w:pStyle w:val="10"/>
        <w:keepNext w:val="0"/>
        <w:keepLines w:val="0"/>
        <w:pageBreakBefore w:val="0"/>
        <w:widowControl w:val="0"/>
        <w:tabs>
          <w:tab w:val="right" w:leader="dot" w:pos="9355"/>
        </w:tabs>
        <w:kinsoku/>
        <w:wordWrap/>
        <w:overflowPunct/>
        <w:topLinePunct w:val="0"/>
        <w:autoSpaceDE/>
        <w:autoSpaceDN/>
        <w:bidi w:val="0"/>
        <w:adjustRightInd/>
        <w:snapToGrid/>
        <w:spacing w:line="360" w:lineRule="auto"/>
        <w:textAlignment w:val="auto"/>
        <w:rPr>
          <w:rFonts w:hint="eastAsia" w:cs="Times New Roman"/>
          <w:szCs w:val="21"/>
          <w:lang w:val="en-US" w:eastAsia="zh-CN"/>
        </w:rPr>
      </w:pPr>
      <w:r>
        <w:rPr>
          <w:rFonts w:hint="eastAsia" w:ascii="Times New Roman" w:hAnsi="Times New Roman" w:eastAsia="宋体" w:cs="Times New Roman"/>
          <w:color w:val="000000" w:themeColor="text1"/>
          <w:sz w:val="21"/>
          <w:szCs w:val="21"/>
          <w14:textFill>
            <w14:solidFill>
              <w14:schemeClr w14:val="tx1"/>
            </w14:solidFill>
          </w14:textFill>
        </w:rPr>
        <w:fldChar w:fldCharType="begin"/>
      </w:r>
      <w:r>
        <w:rPr>
          <w:rFonts w:hint="eastAsia" w:ascii="Times New Roman" w:hAnsi="Times New Roman" w:eastAsia="宋体" w:cs="Times New Roman"/>
          <w:color w:val="000000" w:themeColor="text1"/>
          <w:sz w:val="21"/>
          <w:szCs w:val="21"/>
          <w14:textFill>
            <w14:solidFill>
              <w14:schemeClr w14:val="tx1"/>
            </w14:solidFill>
          </w14:textFill>
        </w:rPr>
        <w:instrText xml:space="preserve"> TOC \o "1-1" \h \z \u </w:instrText>
      </w:r>
      <w:r>
        <w:rPr>
          <w:rFonts w:hint="eastAsia" w:ascii="Times New Roman" w:hAnsi="Times New Roman" w:eastAsia="宋体" w:cs="Times New Roman"/>
          <w:color w:val="000000" w:themeColor="text1"/>
          <w:sz w:val="21"/>
          <w:szCs w:val="21"/>
          <w14:textFill>
            <w14:solidFill>
              <w14:schemeClr w14:val="tx1"/>
            </w14:solidFill>
          </w14:textFill>
        </w:rPr>
        <w:fldChar w:fldCharType="separate"/>
      </w:r>
      <w:r>
        <w:rPr>
          <w:rFonts w:hint="eastAsia" w:cs="Times New Roman"/>
          <w:szCs w:val="21"/>
          <w:lang w:val="en-US" w:eastAsia="zh-CN"/>
        </w:rPr>
        <w:fldChar w:fldCharType="begin"/>
      </w:r>
      <w:r>
        <w:rPr>
          <w:rFonts w:hint="eastAsia" w:cs="Times New Roman"/>
          <w:szCs w:val="21"/>
          <w:lang w:val="en-US" w:eastAsia="zh-CN"/>
        </w:rPr>
        <w:instrText xml:space="preserve"> HYPERLINK \l _Toc30422 </w:instrText>
      </w:r>
      <w:r>
        <w:rPr>
          <w:rFonts w:hint="eastAsia" w:cs="Times New Roman"/>
          <w:szCs w:val="21"/>
          <w:lang w:val="en-US" w:eastAsia="zh-CN"/>
        </w:rPr>
        <w:fldChar w:fldCharType="separate"/>
      </w:r>
      <w:r>
        <w:rPr>
          <w:rFonts w:hint="eastAsia" w:cs="Times New Roman"/>
          <w:szCs w:val="21"/>
          <w:lang w:val="en-US" w:eastAsia="zh-CN"/>
        </w:rPr>
        <w:t>1范围</w:t>
      </w:r>
      <w:r>
        <w:rPr>
          <w:rFonts w:hint="eastAsia" w:cs="Times New Roman"/>
          <w:szCs w:val="21"/>
          <w:lang w:val="en-US" w:eastAsia="zh-CN"/>
        </w:rPr>
        <w:tab/>
      </w:r>
      <w:r>
        <w:rPr>
          <w:rFonts w:hint="eastAsia" w:cs="Times New Roman"/>
          <w:szCs w:val="21"/>
          <w:lang w:val="en-US" w:eastAsia="zh-CN"/>
        </w:rPr>
        <w:fldChar w:fldCharType="begin"/>
      </w:r>
      <w:r>
        <w:rPr>
          <w:rFonts w:hint="eastAsia" w:cs="Times New Roman"/>
          <w:szCs w:val="21"/>
          <w:lang w:val="en-US" w:eastAsia="zh-CN"/>
        </w:rPr>
        <w:instrText xml:space="preserve"> PAGEREF _Toc30422 \h </w:instrText>
      </w:r>
      <w:r>
        <w:rPr>
          <w:rFonts w:hint="eastAsia" w:cs="Times New Roman"/>
          <w:szCs w:val="21"/>
          <w:lang w:val="en-US" w:eastAsia="zh-CN"/>
        </w:rPr>
        <w:fldChar w:fldCharType="separate"/>
      </w:r>
      <w:r>
        <w:rPr>
          <w:rFonts w:hint="eastAsia" w:cs="Times New Roman"/>
          <w:szCs w:val="21"/>
          <w:lang w:val="en-US" w:eastAsia="zh-CN"/>
        </w:rPr>
        <w:t>1</w:t>
      </w:r>
      <w:r>
        <w:rPr>
          <w:rFonts w:hint="eastAsia" w:cs="Times New Roman"/>
          <w:szCs w:val="21"/>
          <w:lang w:val="en-US" w:eastAsia="zh-CN"/>
        </w:rPr>
        <w:fldChar w:fldCharType="end"/>
      </w:r>
      <w:r>
        <w:rPr>
          <w:rFonts w:hint="eastAsia" w:cs="Times New Roman"/>
          <w:szCs w:val="21"/>
          <w:lang w:val="en-US" w:eastAsia="zh-CN"/>
        </w:rPr>
        <w:fldChar w:fldCharType="end"/>
      </w:r>
    </w:p>
    <w:p w14:paraId="41A7F485">
      <w:pPr>
        <w:pStyle w:val="10"/>
        <w:keepNext w:val="0"/>
        <w:keepLines w:val="0"/>
        <w:pageBreakBefore w:val="0"/>
        <w:widowControl w:val="0"/>
        <w:tabs>
          <w:tab w:val="right" w:leader="dot" w:pos="9355"/>
        </w:tabs>
        <w:kinsoku/>
        <w:wordWrap/>
        <w:overflowPunct/>
        <w:topLinePunct w:val="0"/>
        <w:autoSpaceDE/>
        <w:autoSpaceDN/>
        <w:bidi w:val="0"/>
        <w:adjustRightInd/>
        <w:snapToGrid/>
        <w:spacing w:line="360" w:lineRule="auto"/>
        <w:textAlignment w:val="auto"/>
        <w:rPr>
          <w:rFonts w:hint="eastAsia" w:cs="Times New Roman"/>
          <w:szCs w:val="21"/>
          <w:lang w:val="en-US" w:eastAsia="zh-CN"/>
        </w:rPr>
      </w:pPr>
      <w:r>
        <w:rPr>
          <w:rFonts w:hint="eastAsia" w:cs="Times New Roman"/>
          <w:szCs w:val="21"/>
          <w:lang w:val="en-US" w:eastAsia="zh-CN"/>
        </w:rPr>
        <w:fldChar w:fldCharType="begin"/>
      </w:r>
      <w:r>
        <w:rPr>
          <w:rFonts w:hint="eastAsia" w:cs="Times New Roman"/>
          <w:szCs w:val="21"/>
          <w:lang w:val="en-US" w:eastAsia="zh-CN"/>
        </w:rPr>
        <w:instrText xml:space="preserve"> HYPERLINK \l _Toc23546 </w:instrText>
      </w:r>
      <w:r>
        <w:rPr>
          <w:rFonts w:hint="eastAsia" w:cs="Times New Roman"/>
          <w:szCs w:val="21"/>
          <w:lang w:val="en-US" w:eastAsia="zh-CN"/>
        </w:rPr>
        <w:fldChar w:fldCharType="separate"/>
      </w:r>
      <w:r>
        <w:rPr>
          <w:rFonts w:hint="eastAsia" w:cs="Times New Roman"/>
          <w:szCs w:val="21"/>
          <w:lang w:val="en-US" w:eastAsia="zh-CN"/>
        </w:rPr>
        <w:t>2规范性引用文件</w:t>
      </w:r>
      <w:r>
        <w:rPr>
          <w:rFonts w:hint="eastAsia" w:cs="Times New Roman"/>
          <w:szCs w:val="21"/>
          <w:lang w:val="en-US" w:eastAsia="zh-CN"/>
        </w:rPr>
        <w:tab/>
      </w:r>
      <w:r>
        <w:rPr>
          <w:rFonts w:hint="eastAsia" w:cs="Times New Roman"/>
          <w:szCs w:val="21"/>
          <w:lang w:val="en-US" w:eastAsia="zh-CN"/>
        </w:rPr>
        <w:fldChar w:fldCharType="begin"/>
      </w:r>
      <w:r>
        <w:rPr>
          <w:rFonts w:hint="eastAsia" w:cs="Times New Roman"/>
          <w:szCs w:val="21"/>
          <w:lang w:val="en-US" w:eastAsia="zh-CN"/>
        </w:rPr>
        <w:instrText xml:space="preserve"> PAGEREF _Toc23546 \h </w:instrText>
      </w:r>
      <w:r>
        <w:rPr>
          <w:rFonts w:hint="eastAsia" w:cs="Times New Roman"/>
          <w:szCs w:val="21"/>
          <w:lang w:val="en-US" w:eastAsia="zh-CN"/>
        </w:rPr>
        <w:fldChar w:fldCharType="separate"/>
      </w:r>
      <w:r>
        <w:rPr>
          <w:rFonts w:hint="eastAsia" w:cs="Times New Roman"/>
          <w:szCs w:val="21"/>
          <w:lang w:val="en-US" w:eastAsia="zh-CN"/>
        </w:rPr>
        <w:t>1</w:t>
      </w:r>
      <w:r>
        <w:rPr>
          <w:rFonts w:hint="eastAsia" w:cs="Times New Roman"/>
          <w:szCs w:val="21"/>
          <w:lang w:val="en-US" w:eastAsia="zh-CN"/>
        </w:rPr>
        <w:fldChar w:fldCharType="end"/>
      </w:r>
      <w:r>
        <w:rPr>
          <w:rFonts w:hint="eastAsia" w:cs="Times New Roman"/>
          <w:szCs w:val="21"/>
          <w:lang w:val="en-US" w:eastAsia="zh-CN"/>
        </w:rPr>
        <w:fldChar w:fldCharType="end"/>
      </w:r>
    </w:p>
    <w:p w14:paraId="0A3A5D8E">
      <w:pPr>
        <w:pStyle w:val="10"/>
        <w:keepNext w:val="0"/>
        <w:keepLines w:val="0"/>
        <w:pageBreakBefore w:val="0"/>
        <w:widowControl w:val="0"/>
        <w:tabs>
          <w:tab w:val="right" w:leader="dot" w:pos="9355"/>
        </w:tabs>
        <w:kinsoku/>
        <w:wordWrap/>
        <w:overflowPunct/>
        <w:topLinePunct w:val="0"/>
        <w:autoSpaceDE/>
        <w:autoSpaceDN/>
        <w:bidi w:val="0"/>
        <w:adjustRightInd/>
        <w:snapToGrid/>
        <w:spacing w:line="360" w:lineRule="auto"/>
        <w:textAlignment w:val="auto"/>
        <w:rPr>
          <w:rFonts w:hint="eastAsia" w:cs="Times New Roman"/>
          <w:szCs w:val="21"/>
          <w:lang w:val="en-US" w:eastAsia="zh-CN"/>
        </w:rPr>
      </w:pPr>
      <w:r>
        <w:rPr>
          <w:rFonts w:hint="eastAsia" w:cs="Times New Roman"/>
          <w:szCs w:val="21"/>
          <w:lang w:val="en-US" w:eastAsia="zh-CN"/>
        </w:rPr>
        <w:fldChar w:fldCharType="begin"/>
      </w:r>
      <w:r>
        <w:rPr>
          <w:rFonts w:hint="eastAsia" w:cs="Times New Roman"/>
          <w:szCs w:val="21"/>
          <w:lang w:val="en-US" w:eastAsia="zh-CN"/>
        </w:rPr>
        <w:instrText xml:space="preserve"> HYPERLINK \l _Toc7973 </w:instrText>
      </w:r>
      <w:r>
        <w:rPr>
          <w:rFonts w:hint="eastAsia" w:cs="Times New Roman"/>
          <w:szCs w:val="21"/>
          <w:lang w:val="en-US" w:eastAsia="zh-CN"/>
        </w:rPr>
        <w:fldChar w:fldCharType="separate"/>
      </w:r>
      <w:r>
        <w:rPr>
          <w:rFonts w:hint="eastAsia" w:cs="Times New Roman"/>
          <w:szCs w:val="21"/>
          <w:lang w:val="en-US" w:eastAsia="zh-CN"/>
        </w:rPr>
        <w:t>3术语和定义</w:t>
      </w:r>
      <w:r>
        <w:rPr>
          <w:rFonts w:hint="eastAsia" w:cs="Times New Roman"/>
          <w:szCs w:val="21"/>
          <w:lang w:val="en-US" w:eastAsia="zh-CN"/>
        </w:rPr>
        <w:tab/>
      </w:r>
      <w:r>
        <w:rPr>
          <w:rFonts w:hint="eastAsia" w:cs="Times New Roman"/>
          <w:szCs w:val="21"/>
          <w:lang w:val="en-US" w:eastAsia="zh-CN"/>
        </w:rPr>
        <w:fldChar w:fldCharType="begin"/>
      </w:r>
      <w:r>
        <w:rPr>
          <w:rFonts w:hint="eastAsia" w:cs="Times New Roman"/>
          <w:szCs w:val="21"/>
          <w:lang w:val="en-US" w:eastAsia="zh-CN"/>
        </w:rPr>
        <w:instrText xml:space="preserve"> PAGEREF _Toc7973 \h </w:instrText>
      </w:r>
      <w:r>
        <w:rPr>
          <w:rFonts w:hint="eastAsia" w:cs="Times New Roman"/>
          <w:szCs w:val="21"/>
          <w:lang w:val="en-US" w:eastAsia="zh-CN"/>
        </w:rPr>
        <w:fldChar w:fldCharType="separate"/>
      </w:r>
      <w:r>
        <w:rPr>
          <w:rFonts w:hint="eastAsia" w:cs="Times New Roman"/>
          <w:szCs w:val="21"/>
          <w:lang w:val="en-US" w:eastAsia="zh-CN"/>
        </w:rPr>
        <w:t>2</w:t>
      </w:r>
      <w:r>
        <w:rPr>
          <w:rFonts w:hint="eastAsia" w:cs="Times New Roman"/>
          <w:szCs w:val="21"/>
          <w:lang w:val="en-US" w:eastAsia="zh-CN"/>
        </w:rPr>
        <w:fldChar w:fldCharType="end"/>
      </w:r>
      <w:r>
        <w:rPr>
          <w:rFonts w:hint="eastAsia" w:cs="Times New Roman"/>
          <w:szCs w:val="21"/>
          <w:lang w:val="en-US" w:eastAsia="zh-CN"/>
        </w:rPr>
        <w:fldChar w:fldCharType="end"/>
      </w:r>
    </w:p>
    <w:p w14:paraId="018C7EBF">
      <w:pPr>
        <w:pStyle w:val="10"/>
        <w:keepNext w:val="0"/>
        <w:keepLines w:val="0"/>
        <w:pageBreakBefore w:val="0"/>
        <w:widowControl w:val="0"/>
        <w:tabs>
          <w:tab w:val="right" w:leader="dot" w:pos="9355"/>
        </w:tabs>
        <w:kinsoku/>
        <w:wordWrap/>
        <w:overflowPunct/>
        <w:topLinePunct w:val="0"/>
        <w:autoSpaceDE/>
        <w:autoSpaceDN/>
        <w:bidi w:val="0"/>
        <w:adjustRightInd/>
        <w:snapToGrid/>
        <w:spacing w:line="360" w:lineRule="auto"/>
        <w:textAlignment w:val="auto"/>
        <w:rPr>
          <w:rFonts w:hint="eastAsia" w:cs="Times New Roman"/>
          <w:szCs w:val="21"/>
          <w:lang w:val="en-US" w:eastAsia="zh-CN"/>
        </w:rPr>
      </w:pPr>
      <w:r>
        <w:rPr>
          <w:rFonts w:hint="eastAsia" w:cs="Times New Roman"/>
          <w:szCs w:val="21"/>
          <w:lang w:val="en-US" w:eastAsia="zh-CN"/>
        </w:rPr>
        <w:fldChar w:fldCharType="begin"/>
      </w:r>
      <w:r>
        <w:rPr>
          <w:rFonts w:hint="eastAsia" w:cs="Times New Roman"/>
          <w:szCs w:val="21"/>
          <w:lang w:val="en-US" w:eastAsia="zh-CN"/>
        </w:rPr>
        <w:instrText xml:space="preserve"> HYPERLINK \l _Toc4623 </w:instrText>
      </w:r>
      <w:r>
        <w:rPr>
          <w:rFonts w:hint="eastAsia" w:cs="Times New Roman"/>
          <w:szCs w:val="21"/>
          <w:lang w:val="en-US" w:eastAsia="zh-CN"/>
        </w:rPr>
        <w:fldChar w:fldCharType="separate"/>
      </w:r>
      <w:r>
        <w:rPr>
          <w:rFonts w:hint="default" w:cs="Times New Roman"/>
          <w:szCs w:val="21"/>
          <w:lang w:val="en-US" w:eastAsia="zh-CN"/>
        </w:rPr>
        <w:t xml:space="preserve">4 </w:t>
      </w:r>
      <w:r>
        <w:rPr>
          <w:rFonts w:hint="eastAsia" w:cs="Times New Roman"/>
          <w:szCs w:val="21"/>
          <w:lang w:val="en-US" w:eastAsia="zh-CN"/>
        </w:rPr>
        <w:t>总体要求</w:t>
      </w:r>
      <w:r>
        <w:rPr>
          <w:rFonts w:hint="eastAsia" w:cs="Times New Roman"/>
          <w:szCs w:val="21"/>
          <w:lang w:val="en-US" w:eastAsia="zh-CN"/>
        </w:rPr>
        <w:tab/>
      </w:r>
      <w:r>
        <w:rPr>
          <w:rFonts w:hint="eastAsia" w:cs="Times New Roman"/>
          <w:szCs w:val="21"/>
          <w:lang w:val="en-US" w:eastAsia="zh-CN"/>
        </w:rPr>
        <w:fldChar w:fldCharType="begin"/>
      </w:r>
      <w:r>
        <w:rPr>
          <w:rFonts w:hint="eastAsia" w:cs="Times New Roman"/>
          <w:szCs w:val="21"/>
          <w:lang w:val="en-US" w:eastAsia="zh-CN"/>
        </w:rPr>
        <w:instrText xml:space="preserve"> PAGEREF _Toc4623 \h </w:instrText>
      </w:r>
      <w:r>
        <w:rPr>
          <w:rFonts w:hint="eastAsia" w:cs="Times New Roman"/>
          <w:szCs w:val="21"/>
          <w:lang w:val="en-US" w:eastAsia="zh-CN"/>
        </w:rPr>
        <w:fldChar w:fldCharType="separate"/>
      </w:r>
      <w:r>
        <w:rPr>
          <w:rFonts w:hint="eastAsia" w:cs="Times New Roman"/>
          <w:szCs w:val="21"/>
          <w:lang w:val="en-US" w:eastAsia="zh-CN"/>
        </w:rPr>
        <w:t>3</w:t>
      </w:r>
      <w:r>
        <w:rPr>
          <w:rFonts w:hint="eastAsia" w:cs="Times New Roman"/>
          <w:szCs w:val="21"/>
          <w:lang w:val="en-US" w:eastAsia="zh-CN"/>
        </w:rPr>
        <w:fldChar w:fldCharType="end"/>
      </w:r>
      <w:r>
        <w:rPr>
          <w:rFonts w:hint="eastAsia" w:cs="Times New Roman"/>
          <w:szCs w:val="21"/>
          <w:lang w:val="en-US" w:eastAsia="zh-CN"/>
        </w:rPr>
        <w:fldChar w:fldCharType="end"/>
      </w:r>
    </w:p>
    <w:p w14:paraId="5F8018E4">
      <w:pPr>
        <w:pStyle w:val="10"/>
        <w:keepNext w:val="0"/>
        <w:keepLines w:val="0"/>
        <w:pageBreakBefore w:val="0"/>
        <w:widowControl w:val="0"/>
        <w:tabs>
          <w:tab w:val="right" w:leader="dot" w:pos="9355"/>
        </w:tabs>
        <w:kinsoku/>
        <w:wordWrap/>
        <w:overflowPunct/>
        <w:topLinePunct w:val="0"/>
        <w:autoSpaceDE/>
        <w:autoSpaceDN/>
        <w:bidi w:val="0"/>
        <w:adjustRightInd/>
        <w:snapToGrid/>
        <w:spacing w:line="360" w:lineRule="auto"/>
        <w:textAlignment w:val="auto"/>
        <w:rPr>
          <w:rFonts w:hint="eastAsia" w:cs="Times New Roman"/>
          <w:szCs w:val="21"/>
          <w:lang w:val="en-US" w:eastAsia="zh-CN"/>
        </w:rPr>
      </w:pPr>
      <w:r>
        <w:rPr>
          <w:rFonts w:hint="eastAsia" w:cs="Times New Roman"/>
          <w:szCs w:val="21"/>
          <w:lang w:val="en-US" w:eastAsia="zh-CN"/>
        </w:rPr>
        <w:fldChar w:fldCharType="begin"/>
      </w:r>
      <w:r>
        <w:rPr>
          <w:rFonts w:hint="eastAsia" w:cs="Times New Roman"/>
          <w:szCs w:val="21"/>
          <w:lang w:val="en-US" w:eastAsia="zh-CN"/>
        </w:rPr>
        <w:instrText xml:space="preserve"> HYPERLINK \l _Toc1921 </w:instrText>
      </w:r>
      <w:r>
        <w:rPr>
          <w:rFonts w:hint="eastAsia" w:cs="Times New Roman"/>
          <w:szCs w:val="21"/>
          <w:lang w:val="en-US" w:eastAsia="zh-CN"/>
        </w:rPr>
        <w:fldChar w:fldCharType="separate"/>
      </w:r>
      <w:r>
        <w:rPr>
          <w:rFonts w:hint="default" w:cs="Times New Roman"/>
          <w:szCs w:val="21"/>
          <w:lang w:val="en-US" w:eastAsia="zh-CN"/>
        </w:rPr>
        <w:t xml:space="preserve">5 </w:t>
      </w:r>
      <w:r>
        <w:rPr>
          <w:rFonts w:hint="eastAsia" w:cs="Times New Roman"/>
          <w:szCs w:val="21"/>
          <w:lang w:val="en-US" w:eastAsia="zh-CN"/>
        </w:rPr>
        <w:t>本底</w:t>
      </w:r>
      <w:r>
        <w:rPr>
          <w:rFonts w:hint="default" w:cs="Times New Roman"/>
          <w:szCs w:val="21"/>
          <w:lang w:val="en-US" w:eastAsia="zh-CN"/>
        </w:rPr>
        <w:t>调查</w:t>
      </w:r>
      <w:r>
        <w:rPr>
          <w:rFonts w:hint="eastAsia" w:cs="Times New Roman"/>
          <w:szCs w:val="21"/>
          <w:lang w:val="en-US" w:eastAsia="zh-CN"/>
        </w:rPr>
        <w:tab/>
      </w:r>
      <w:r>
        <w:rPr>
          <w:rFonts w:hint="eastAsia" w:cs="Times New Roman"/>
          <w:szCs w:val="21"/>
          <w:lang w:val="en-US" w:eastAsia="zh-CN"/>
        </w:rPr>
        <w:fldChar w:fldCharType="begin"/>
      </w:r>
      <w:r>
        <w:rPr>
          <w:rFonts w:hint="eastAsia" w:cs="Times New Roman"/>
          <w:szCs w:val="21"/>
          <w:lang w:val="en-US" w:eastAsia="zh-CN"/>
        </w:rPr>
        <w:instrText xml:space="preserve"> PAGEREF _Toc1921 \h </w:instrText>
      </w:r>
      <w:r>
        <w:rPr>
          <w:rFonts w:hint="eastAsia" w:cs="Times New Roman"/>
          <w:szCs w:val="21"/>
          <w:lang w:val="en-US" w:eastAsia="zh-CN"/>
        </w:rPr>
        <w:fldChar w:fldCharType="separate"/>
      </w:r>
      <w:r>
        <w:rPr>
          <w:rFonts w:hint="eastAsia" w:cs="Times New Roman"/>
          <w:szCs w:val="21"/>
          <w:lang w:val="en-US" w:eastAsia="zh-CN"/>
        </w:rPr>
        <w:t>4</w:t>
      </w:r>
      <w:r>
        <w:rPr>
          <w:rFonts w:hint="eastAsia" w:cs="Times New Roman"/>
          <w:szCs w:val="21"/>
          <w:lang w:val="en-US" w:eastAsia="zh-CN"/>
        </w:rPr>
        <w:fldChar w:fldCharType="end"/>
      </w:r>
      <w:r>
        <w:rPr>
          <w:rFonts w:hint="eastAsia" w:cs="Times New Roman"/>
          <w:szCs w:val="21"/>
          <w:lang w:val="en-US" w:eastAsia="zh-CN"/>
        </w:rPr>
        <w:fldChar w:fldCharType="end"/>
      </w:r>
    </w:p>
    <w:p w14:paraId="3B812B07">
      <w:pPr>
        <w:pStyle w:val="10"/>
        <w:keepNext w:val="0"/>
        <w:keepLines w:val="0"/>
        <w:pageBreakBefore w:val="0"/>
        <w:widowControl w:val="0"/>
        <w:tabs>
          <w:tab w:val="right" w:leader="dot" w:pos="9355"/>
        </w:tabs>
        <w:kinsoku/>
        <w:wordWrap/>
        <w:overflowPunct/>
        <w:topLinePunct w:val="0"/>
        <w:autoSpaceDE/>
        <w:autoSpaceDN/>
        <w:bidi w:val="0"/>
        <w:adjustRightInd/>
        <w:snapToGrid/>
        <w:spacing w:line="360" w:lineRule="auto"/>
        <w:textAlignment w:val="auto"/>
        <w:rPr>
          <w:rFonts w:hint="eastAsia" w:cs="Times New Roman"/>
          <w:szCs w:val="21"/>
          <w:lang w:val="en-US" w:eastAsia="zh-CN"/>
        </w:rPr>
      </w:pPr>
      <w:r>
        <w:rPr>
          <w:rFonts w:hint="eastAsia" w:cs="Times New Roman"/>
          <w:szCs w:val="21"/>
          <w:lang w:val="en-US" w:eastAsia="zh-CN"/>
        </w:rPr>
        <w:fldChar w:fldCharType="begin"/>
      </w:r>
      <w:r>
        <w:rPr>
          <w:rFonts w:hint="eastAsia" w:cs="Times New Roman"/>
          <w:szCs w:val="21"/>
          <w:lang w:val="en-US" w:eastAsia="zh-CN"/>
        </w:rPr>
        <w:instrText xml:space="preserve"> HYPERLINK \l _Toc29255 </w:instrText>
      </w:r>
      <w:r>
        <w:rPr>
          <w:rFonts w:hint="eastAsia" w:cs="Times New Roman"/>
          <w:szCs w:val="21"/>
          <w:lang w:val="en-US" w:eastAsia="zh-CN"/>
        </w:rPr>
        <w:fldChar w:fldCharType="separate"/>
      </w:r>
      <w:r>
        <w:rPr>
          <w:rFonts w:hint="default" w:cs="Times New Roman"/>
          <w:szCs w:val="21"/>
          <w:lang w:val="en-US" w:eastAsia="zh-CN"/>
        </w:rPr>
        <w:t xml:space="preserve">6 </w:t>
      </w:r>
      <w:r>
        <w:rPr>
          <w:rFonts w:hint="eastAsia" w:cs="Times New Roman"/>
          <w:szCs w:val="21"/>
          <w:lang w:val="en-US" w:eastAsia="zh-CN"/>
        </w:rPr>
        <w:t>锂渣回填材料要求</w:t>
      </w:r>
      <w:r>
        <w:rPr>
          <w:rFonts w:hint="eastAsia" w:cs="Times New Roman"/>
          <w:szCs w:val="21"/>
          <w:lang w:val="en-US" w:eastAsia="zh-CN"/>
        </w:rPr>
        <w:tab/>
      </w:r>
      <w:r>
        <w:rPr>
          <w:rFonts w:hint="eastAsia" w:cs="Times New Roman"/>
          <w:szCs w:val="21"/>
          <w:lang w:val="en-US" w:eastAsia="zh-CN"/>
        </w:rPr>
        <w:fldChar w:fldCharType="begin"/>
      </w:r>
      <w:r>
        <w:rPr>
          <w:rFonts w:hint="eastAsia" w:cs="Times New Roman"/>
          <w:szCs w:val="21"/>
          <w:lang w:val="en-US" w:eastAsia="zh-CN"/>
        </w:rPr>
        <w:instrText xml:space="preserve"> PAGEREF _Toc29255 \h </w:instrText>
      </w:r>
      <w:r>
        <w:rPr>
          <w:rFonts w:hint="eastAsia" w:cs="Times New Roman"/>
          <w:szCs w:val="21"/>
          <w:lang w:val="en-US" w:eastAsia="zh-CN"/>
        </w:rPr>
        <w:fldChar w:fldCharType="separate"/>
      </w:r>
      <w:r>
        <w:rPr>
          <w:rFonts w:hint="eastAsia" w:cs="Times New Roman"/>
          <w:szCs w:val="21"/>
          <w:lang w:val="en-US" w:eastAsia="zh-CN"/>
        </w:rPr>
        <w:t>5</w:t>
      </w:r>
      <w:r>
        <w:rPr>
          <w:rFonts w:hint="eastAsia" w:cs="Times New Roman"/>
          <w:szCs w:val="21"/>
          <w:lang w:val="en-US" w:eastAsia="zh-CN"/>
        </w:rPr>
        <w:fldChar w:fldCharType="end"/>
      </w:r>
      <w:r>
        <w:rPr>
          <w:rFonts w:hint="eastAsia" w:cs="Times New Roman"/>
          <w:szCs w:val="21"/>
          <w:lang w:val="en-US" w:eastAsia="zh-CN"/>
        </w:rPr>
        <w:fldChar w:fldCharType="end"/>
      </w:r>
    </w:p>
    <w:p w14:paraId="6A025593">
      <w:pPr>
        <w:pStyle w:val="10"/>
        <w:keepNext w:val="0"/>
        <w:keepLines w:val="0"/>
        <w:pageBreakBefore w:val="0"/>
        <w:widowControl w:val="0"/>
        <w:tabs>
          <w:tab w:val="right" w:leader="dot" w:pos="9355"/>
        </w:tabs>
        <w:kinsoku/>
        <w:wordWrap/>
        <w:overflowPunct/>
        <w:topLinePunct w:val="0"/>
        <w:autoSpaceDE/>
        <w:autoSpaceDN/>
        <w:bidi w:val="0"/>
        <w:adjustRightInd/>
        <w:snapToGrid/>
        <w:spacing w:line="360" w:lineRule="auto"/>
        <w:textAlignment w:val="auto"/>
        <w:rPr>
          <w:rFonts w:hint="eastAsia" w:cs="Times New Roman"/>
          <w:szCs w:val="21"/>
          <w:lang w:val="en-US" w:eastAsia="zh-CN"/>
        </w:rPr>
      </w:pPr>
      <w:r>
        <w:rPr>
          <w:rFonts w:hint="eastAsia" w:cs="Times New Roman"/>
          <w:szCs w:val="21"/>
          <w:lang w:val="en-US" w:eastAsia="zh-CN"/>
        </w:rPr>
        <w:fldChar w:fldCharType="begin"/>
      </w:r>
      <w:r>
        <w:rPr>
          <w:rFonts w:hint="eastAsia" w:cs="Times New Roman"/>
          <w:szCs w:val="21"/>
          <w:lang w:val="en-US" w:eastAsia="zh-CN"/>
        </w:rPr>
        <w:instrText xml:space="preserve"> HYPERLINK \l _Toc28564 </w:instrText>
      </w:r>
      <w:r>
        <w:rPr>
          <w:rFonts w:hint="eastAsia" w:cs="Times New Roman"/>
          <w:szCs w:val="21"/>
          <w:lang w:val="en-US" w:eastAsia="zh-CN"/>
        </w:rPr>
        <w:fldChar w:fldCharType="separate"/>
      </w:r>
      <w:r>
        <w:rPr>
          <w:rFonts w:hint="default" w:cs="Times New Roman"/>
          <w:szCs w:val="21"/>
          <w:lang w:val="en-US" w:eastAsia="zh-CN"/>
        </w:rPr>
        <w:t xml:space="preserve">7 </w:t>
      </w:r>
      <w:r>
        <w:rPr>
          <w:rFonts w:hint="eastAsia" w:cs="Times New Roman"/>
          <w:szCs w:val="21"/>
          <w:lang w:val="en-US" w:eastAsia="zh-CN"/>
        </w:rPr>
        <w:t>矿坑</w:t>
      </w:r>
      <w:r>
        <w:rPr>
          <w:rFonts w:hint="default" w:cs="Times New Roman"/>
          <w:szCs w:val="21"/>
          <w:lang w:val="en-US" w:eastAsia="zh-CN"/>
        </w:rPr>
        <w:t>回填</w:t>
      </w:r>
      <w:r>
        <w:rPr>
          <w:rFonts w:hint="eastAsia" w:cs="Times New Roman"/>
          <w:szCs w:val="21"/>
          <w:lang w:val="en-US" w:eastAsia="zh-CN"/>
        </w:rPr>
        <w:t>要求</w:t>
      </w:r>
      <w:r>
        <w:rPr>
          <w:rFonts w:hint="eastAsia" w:cs="Times New Roman"/>
          <w:szCs w:val="21"/>
          <w:lang w:val="en-US" w:eastAsia="zh-CN"/>
        </w:rPr>
        <w:tab/>
      </w:r>
      <w:r>
        <w:rPr>
          <w:rFonts w:hint="eastAsia" w:cs="Times New Roman"/>
          <w:szCs w:val="21"/>
          <w:lang w:val="en-US" w:eastAsia="zh-CN"/>
        </w:rPr>
        <w:fldChar w:fldCharType="begin"/>
      </w:r>
      <w:r>
        <w:rPr>
          <w:rFonts w:hint="eastAsia" w:cs="Times New Roman"/>
          <w:szCs w:val="21"/>
          <w:lang w:val="en-US" w:eastAsia="zh-CN"/>
        </w:rPr>
        <w:instrText xml:space="preserve"> PAGEREF _Toc28564 \h </w:instrText>
      </w:r>
      <w:r>
        <w:rPr>
          <w:rFonts w:hint="eastAsia" w:cs="Times New Roman"/>
          <w:szCs w:val="21"/>
          <w:lang w:val="en-US" w:eastAsia="zh-CN"/>
        </w:rPr>
        <w:fldChar w:fldCharType="separate"/>
      </w:r>
      <w:r>
        <w:rPr>
          <w:rFonts w:hint="eastAsia" w:cs="Times New Roman"/>
          <w:szCs w:val="21"/>
          <w:lang w:val="en-US" w:eastAsia="zh-CN"/>
        </w:rPr>
        <w:t>6</w:t>
      </w:r>
      <w:r>
        <w:rPr>
          <w:rFonts w:hint="eastAsia" w:cs="Times New Roman"/>
          <w:szCs w:val="21"/>
          <w:lang w:val="en-US" w:eastAsia="zh-CN"/>
        </w:rPr>
        <w:fldChar w:fldCharType="end"/>
      </w:r>
      <w:r>
        <w:rPr>
          <w:rFonts w:hint="eastAsia" w:cs="Times New Roman"/>
          <w:szCs w:val="21"/>
          <w:lang w:val="en-US" w:eastAsia="zh-CN"/>
        </w:rPr>
        <w:fldChar w:fldCharType="end"/>
      </w:r>
    </w:p>
    <w:p w14:paraId="2E7CF86D">
      <w:pPr>
        <w:pStyle w:val="10"/>
        <w:keepNext w:val="0"/>
        <w:keepLines w:val="0"/>
        <w:pageBreakBefore w:val="0"/>
        <w:widowControl w:val="0"/>
        <w:tabs>
          <w:tab w:val="right" w:leader="dot" w:pos="9355"/>
        </w:tabs>
        <w:kinsoku/>
        <w:wordWrap/>
        <w:overflowPunct/>
        <w:topLinePunct w:val="0"/>
        <w:autoSpaceDE/>
        <w:autoSpaceDN/>
        <w:bidi w:val="0"/>
        <w:adjustRightInd/>
        <w:snapToGrid/>
        <w:spacing w:line="360" w:lineRule="auto"/>
        <w:textAlignment w:val="auto"/>
        <w:rPr>
          <w:rFonts w:hint="eastAsia" w:cs="Times New Roman"/>
          <w:szCs w:val="21"/>
          <w:lang w:val="en-US" w:eastAsia="zh-CN"/>
        </w:rPr>
      </w:pPr>
      <w:r>
        <w:rPr>
          <w:rFonts w:hint="eastAsia" w:cs="Times New Roman"/>
          <w:szCs w:val="21"/>
          <w:lang w:val="en-US" w:eastAsia="zh-CN"/>
        </w:rPr>
        <w:fldChar w:fldCharType="begin"/>
      </w:r>
      <w:r>
        <w:rPr>
          <w:rFonts w:hint="eastAsia" w:cs="Times New Roman"/>
          <w:szCs w:val="21"/>
          <w:lang w:val="en-US" w:eastAsia="zh-CN"/>
        </w:rPr>
        <w:instrText xml:space="preserve"> HYPERLINK \l _Toc8703 </w:instrText>
      </w:r>
      <w:r>
        <w:rPr>
          <w:rFonts w:hint="eastAsia" w:cs="Times New Roman"/>
          <w:szCs w:val="21"/>
          <w:lang w:val="en-US" w:eastAsia="zh-CN"/>
        </w:rPr>
        <w:fldChar w:fldCharType="separate"/>
      </w:r>
      <w:r>
        <w:rPr>
          <w:rFonts w:hint="default" w:cs="Times New Roman"/>
          <w:szCs w:val="21"/>
          <w:lang w:val="en-US" w:eastAsia="zh-CN"/>
        </w:rPr>
        <w:t>8 生态恢复</w:t>
      </w:r>
      <w:r>
        <w:rPr>
          <w:rFonts w:hint="eastAsia" w:cs="Times New Roman"/>
          <w:szCs w:val="21"/>
          <w:lang w:val="en-US" w:eastAsia="zh-CN"/>
        </w:rPr>
        <w:t>要求</w:t>
      </w:r>
      <w:r>
        <w:rPr>
          <w:rFonts w:hint="eastAsia" w:cs="Times New Roman"/>
          <w:szCs w:val="21"/>
          <w:lang w:val="en-US" w:eastAsia="zh-CN"/>
        </w:rPr>
        <w:tab/>
      </w:r>
      <w:r>
        <w:rPr>
          <w:rFonts w:hint="eastAsia" w:cs="Times New Roman"/>
          <w:szCs w:val="21"/>
          <w:lang w:val="en-US" w:eastAsia="zh-CN"/>
        </w:rPr>
        <w:fldChar w:fldCharType="begin"/>
      </w:r>
      <w:r>
        <w:rPr>
          <w:rFonts w:hint="eastAsia" w:cs="Times New Roman"/>
          <w:szCs w:val="21"/>
          <w:lang w:val="en-US" w:eastAsia="zh-CN"/>
        </w:rPr>
        <w:instrText xml:space="preserve"> PAGEREF _Toc8703 \h </w:instrText>
      </w:r>
      <w:r>
        <w:rPr>
          <w:rFonts w:hint="eastAsia" w:cs="Times New Roman"/>
          <w:szCs w:val="21"/>
          <w:lang w:val="en-US" w:eastAsia="zh-CN"/>
        </w:rPr>
        <w:fldChar w:fldCharType="separate"/>
      </w:r>
      <w:r>
        <w:rPr>
          <w:rFonts w:hint="eastAsia" w:cs="Times New Roman"/>
          <w:szCs w:val="21"/>
          <w:lang w:val="en-US" w:eastAsia="zh-CN"/>
        </w:rPr>
        <w:t>7</w:t>
      </w:r>
      <w:r>
        <w:rPr>
          <w:rFonts w:hint="eastAsia" w:cs="Times New Roman"/>
          <w:szCs w:val="21"/>
          <w:lang w:val="en-US" w:eastAsia="zh-CN"/>
        </w:rPr>
        <w:fldChar w:fldCharType="end"/>
      </w:r>
      <w:r>
        <w:rPr>
          <w:rFonts w:hint="eastAsia" w:cs="Times New Roman"/>
          <w:szCs w:val="21"/>
          <w:lang w:val="en-US" w:eastAsia="zh-CN"/>
        </w:rPr>
        <w:fldChar w:fldCharType="end"/>
      </w:r>
    </w:p>
    <w:p w14:paraId="0E0BFB53">
      <w:pPr>
        <w:pStyle w:val="10"/>
        <w:keepNext w:val="0"/>
        <w:keepLines w:val="0"/>
        <w:pageBreakBefore w:val="0"/>
        <w:widowControl w:val="0"/>
        <w:tabs>
          <w:tab w:val="right" w:leader="dot" w:pos="9355"/>
        </w:tabs>
        <w:kinsoku/>
        <w:wordWrap/>
        <w:overflowPunct/>
        <w:topLinePunct w:val="0"/>
        <w:autoSpaceDE/>
        <w:autoSpaceDN/>
        <w:bidi w:val="0"/>
        <w:adjustRightInd/>
        <w:snapToGrid/>
        <w:spacing w:line="360" w:lineRule="auto"/>
        <w:textAlignment w:val="auto"/>
        <w:rPr>
          <w:rFonts w:hint="eastAsia" w:cs="Times New Roman"/>
          <w:szCs w:val="21"/>
          <w:lang w:val="en-US" w:eastAsia="zh-CN"/>
        </w:rPr>
      </w:pPr>
      <w:r>
        <w:rPr>
          <w:rFonts w:hint="eastAsia" w:cs="Times New Roman"/>
          <w:szCs w:val="21"/>
          <w:lang w:val="en-US" w:eastAsia="zh-CN"/>
        </w:rPr>
        <w:fldChar w:fldCharType="begin"/>
      </w:r>
      <w:r>
        <w:rPr>
          <w:rFonts w:hint="eastAsia" w:cs="Times New Roman"/>
          <w:szCs w:val="21"/>
          <w:lang w:val="en-US" w:eastAsia="zh-CN"/>
        </w:rPr>
        <w:instrText xml:space="preserve"> HYPERLINK \l _Toc8758 </w:instrText>
      </w:r>
      <w:r>
        <w:rPr>
          <w:rFonts w:hint="eastAsia" w:cs="Times New Roman"/>
          <w:szCs w:val="21"/>
          <w:lang w:val="en-US" w:eastAsia="zh-CN"/>
        </w:rPr>
        <w:fldChar w:fldCharType="separate"/>
      </w:r>
      <w:r>
        <w:rPr>
          <w:rFonts w:hint="default" w:cs="Times New Roman"/>
          <w:szCs w:val="21"/>
          <w:lang w:val="en-US" w:eastAsia="zh-CN"/>
        </w:rPr>
        <w:t xml:space="preserve">9 </w:t>
      </w:r>
      <w:r>
        <w:rPr>
          <w:rFonts w:hint="eastAsia" w:cs="Times New Roman"/>
          <w:szCs w:val="21"/>
          <w:lang w:val="en-US" w:eastAsia="zh-CN"/>
        </w:rPr>
        <w:t>环境监测要求</w:t>
      </w:r>
      <w:r>
        <w:rPr>
          <w:rFonts w:hint="eastAsia" w:cs="Times New Roman"/>
          <w:szCs w:val="21"/>
          <w:lang w:val="en-US" w:eastAsia="zh-CN"/>
        </w:rPr>
        <w:tab/>
      </w:r>
      <w:r>
        <w:rPr>
          <w:rFonts w:hint="eastAsia" w:cs="Times New Roman"/>
          <w:szCs w:val="21"/>
          <w:lang w:val="en-US" w:eastAsia="zh-CN"/>
        </w:rPr>
        <w:fldChar w:fldCharType="begin"/>
      </w:r>
      <w:r>
        <w:rPr>
          <w:rFonts w:hint="eastAsia" w:cs="Times New Roman"/>
          <w:szCs w:val="21"/>
          <w:lang w:val="en-US" w:eastAsia="zh-CN"/>
        </w:rPr>
        <w:instrText xml:space="preserve"> PAGEREF _Toc8758 \h </w:instrText>
      </w:r>
      <w:r>
        <w:rPr>
          <w:rFonts w:hint="eastAsia" w:cs="Times New Roman"/>
          <w:szCs w:val="21"/>
          <w:lang w:val="en-US" w:eastAsia="zh-CN"/>
        </w:rPr>
        <w:fldChar w:fldCharType="separate"/>
      </w:r>
      <w:r>
        <w:rPr>
          <w:rFonts w:hint="eastAsia" w:cs="Times New Roman"/>
          <w:szCs w:val="21"/>
          <w:lang w:val="en-US" w:eastAsia="zh-CN"/>
        </w:rPr>
        <w:t>7</w:t>
      </w:r>
      <w:r>
        <w:rPr>
          <w:rFonts w:hint="eastAsia" w:cs="Times New Roman"/>
          <w:szCs w:val="21"/>
          <w:lang w:val="en-US" w:eastAsia="zh-CN"/>
        </w:rPr>
        <w:fldChar w:fldCharType="end"/>
      </w:r>
      <w:r>
        <w:rPr>
          <w:rFonts w:hint="eastAsia" w:cs="Times New Roman"/>
          <w:szCs w:val="21"/>
          <w:lang w:val="en-US" w:eastAsia="zh-CN"/>
        </w:rPr>
        <w:fldChar w:fldCharType="end"/>
      </w:r>
    </w:p>
    <w:p w14:paraId="0C9282D4">
      <w:pPr>
        <w:pStyle w:val="10"/>
        <w:keepNext w:val="0"/>
        <w:keepLines w:val="0"/>
        <w:pageBreakBefore w:val="0"/>
        <w:widowControl w:val="0"/>
        <w:tabs>
          <w:tab w:val="right" w:leader="dot" w:pos="9355"/>
        </w:tabs>
        <w:kinsoku/>
        <w:wordWrap/>
        <w:overflowPunct/>
        <w:topLinePunct w:val="0"/>
        <w:autoSpaceDE/>
        <w:autoSpaceDN/>
        <w:bidi w:val="0"/>
        <w:adjustRightInd/>
        <w:snapToGrid/>
        <w:spacing w:line="360" w:lineRule="auto"/>
        <w:textAlignment w:val="auto"/>
      </w:pPr>
      <w:r>
        <w:rPr>
          <w:rFonts w:hint="eastAsia" w:cs="Times New Roman"/>
          <w:szCs w:val="21"/>
          <w:lang w:val="en-US" w:eastAsia="zh-CN"/>
        </w:rPr>
        <w:fldChar w:fldCharType="begin"/>
      </w:r>
      <w:r>
        <w:rPr>
          <w:rFonts w:hint="eastAsia" w:cs="Times New Roman"/>
          <w:szCs w:val="21"/>
          <w:lang w:val="en-US" w:eastAsia="zh-CN"/>
        </w:rPr>
        <w:instrText xml:space="preserve"> HYPERLINK \l _Toc22490 </w:instrText>
      </w:r>
      <w:r>
        <w:rPr>
          <w:rFonts w:hint="eastAsia" w:cs="Times New Roman"/>
          <w:szCs w:val="21"/>
          <w:lang w:val="en-US" w:eastAsia="zh-CN"/>
        </w:rPr>
        <w:fldChar w:fldCharType="separate"/>
      </w:r>
      <w:r>
        <w:rPr>
          <w:rFonts w:hint="default" w:cs="Times New Roman"/>
          <w:szCs w:val="21"/>
          <w:lang w:val="en-US" w:eastAsia="zh-CN"/>
        </w:rPr>
        <w:t xml:space="preserve">10 </w:t>
      </w:r>
      <w:r>
        <w:rPr>
          <w:rFonts w:hint="eastAsia" w:cs="Times New Roman"/>
          <w:szCs w:val="21"/>
          <w:lang w:val="en-US" w:eastAsia="zh-CN"/>
        </w:rPr>
        <w:t>环境管理</w:t>
      </w:r>
      <w:r>
        <w:rPr>
          <w:rFonts w:hint="eastAsia" w:cs="Times New Roman"/>
          <w:szCs w:val="21"/>
          <w:lang w:val="en-US" w:eastAsia="zh-CN"/>
        </w:rPr>
        <w:tab/>
      </w:r>
      <w:r>
        <w:rPr>
          <w:rFonts w:hint="eastAsia" w:cs="Times New Roman"/>
          <w:szCs w:val="21"/>
          <w:lang w:val="en-US" w:eastAsia="zh-CN"/>
        </w:rPr>
        <w:fldChar w:fldCharType="begin"/>
      </w:r>
      <w:r>
        <w:rPr>
          <w:rFonts w:hint="eastAsia" w:cs="Times New Roman"/>
          <w:szCs w:val="21"/>
          <w:lang w:val="en-US" w:eastAsia="zh-CN"/>
        </w:rPr>
        <w:instrText xml:space="preserve"> PAGEREF _Toc22490 \h </w:instrText>
      </w:r>
      <w:r>
        <w:rPr>
          <w:rFonts w:hint="eastAsia" w:cs="Times New Roman"/>
          <w:szCs w:val="21"/>
          <w:lang w:val="en-US" w:eastAsia="zh-CN"/>
        </w:rPr>
        <w:fldChar w:fldCharType="separate"/>
      </w:r>
      <w:r>
        <w:rPr>
          <w:rFonts w:hint="eastAsia" w:cs="Times New Roman"/>
          <w:szCs w:val="21"/>
          <w:lang w:val="en-US" w:eastAsia="zh-CN"/>
        </w:rPr>
        <w:t>8</w:t>
      </w:r>
      <w:r>
        <w:rPr>
          <w:rFonts w:hint="eastAsia" w:cs="Times New Roman"/>
          <w:szCs w:val="21"/>
          <w:lang w:val="en-US" w:eastAsia="zh-CN"/>
        </w:rPr>
        <w:fldChar w:fldCharType="end"/>
      </w:r>
      <w:r>
        <w:rPr>
          <w:rFonts w:hint="eastAsia" w:cs="Times New Roman"/>
          <w:szCs w:val="21"/>
          <w:lang w:val="en-US" w:eastAsia="zh-CN"/>
        </w:rPr>
        <w:fldChar w:fldCharType="end"/>
      </w:r>
    </w:p>
    <w:p w14:paraId="4A752D52">
      <w:pPr>
        <w:keepNext w:val="0"/>
        <w:keepLines w:val="0"/>
        <w:pageBreakBefore w:val="0"/>
        <w:widowControl w:val="0"/>
        <w:kinsoku/>
        <w:wordWrap/>
        <w:overflowPunct/>
        <w:topLinePunct w:val="0"/>
        <w:autoSpaceDE/>
        <w:autoSpaceDN/>
        <w:bidi w:val="0"/>
        <w:adjustRightInd/>
        <w:snapToGrid/>
        <w:spacing w:line="360" w:lineRule="auto"/>
        <w:textAlignment w:val="auto"/>
        <w:rPr>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Cs w:val="21"/>
          <w14:textFill>
            <w14:solidFill>
              <w14:schemeClr w14:val="tx1"/>
            </w14:solidFill>
          </w14:textFill>
        </w:rPr>
        <w:fldChar w:fldCharType="end"/>
      </w:r>
    </w:p>
    <w:p w14:paraId="603FAE21">
      <w:pPr>
        <w:spacing w:line="360" w:lineRule="auto"/>
        <w:rPr>
          <w:color w:val="000000" w:themeColor="text1"/>
          <w:sz w:val="24"/>
          <w:szCs w:val="24"/>
          <w14:textFill>
            <w14:solidFill>
              <w14:schemeClr w14:val="tx1"/>
            </w14:solidFill>
          </w14:textFill>
        </w:rPr>
      </w:pPr>
    </w:p>
    <w:p w14:paraId="22575D98">
      <w:pPr>
        <w:bidi w:val="0"/>
        <w:rPr>
          <w:rFonts w:ascii="Times New Roman" w:hAnsi="Times New Roman" w:eastAsia="宋体" w:cs="Times New Roman"/>
          <w:kern w:val="2"/>
          <w:sz w:val="21"/>
          <w:szCs w:val="22"/>
          <w:lang w:val="en-US" w:eastAsia="zh-CN" w:bidi="ar-SA"/>
        </w:rPr>
      </w:pPr>
    </w:p>
    <w:p w14:paraId="31E11362">
      <w:pPr>
        <w:bidi w:val="0"/>
        <w:rPr>
          <w:lang w:val="en-US" w:eastAsia="zh-CN"/>
        </w:rPr>
      </w:pPr>
    </w:p>
    <w:p w14:paraId="02BEF102">
      <w:pPr>
        <w:bidi w:val="0"/>
        <w:rPr>
          <w:lang w:val="en-US" w:eastAsia="zh-CN"/>
        </w:rPr>
      </w:pPr>
    </w:p>
    <w:p w14:paraId="66D8FAC3">
      <w:pPr>
        <w:bidi w:val="0"/>
        <w:rPr>
          <w:lang w:val="en-US" w:eastAsia="zh-CN"/>
        </w:rPr>
      </w:pPr>
    </w:p>
    <w:p w14:paraId="638F2D3A">
      <w:pPr>
        <w:bidi w:val="0"/>
        <w:rPr>
          <w:lang w:val="en-US" w:eastAsia="zh-CN"/>
        </w:rPr>
      </w:pPr>
    </w:p>
    <w:p w14:paraId="6701436D">
      <w:pPr>
        <w:bidi w:val="0"/>
        <w:rPr>
          <w:lang w:val="en-US" w:eastAsia="zh-CN"/>
        </w:rPr>
      </w:pPr>
    </w:p>
    <w:p w14:paraId="7BA27F1A">
      <w:pPr>
        <w:bidi w:val="0"/>
        <w:rPr>
          <w:lang w:val="en-US" w:eastAsia="zh-CN"/>
        </w:rPr>
      </w:pPr>
    </w:p>
    <w:p w14:paraId="53524152">
      <w:pPr>
        <w:bidi w:val="0"/>
        <w:rPr>
          <w:lang w:val="en-US" w:eastAsia="zh-CN"/>
        </w:rPr>
      </w:pPr>
    </w:p>
    <w:p w14:paraId="751A781D">
      <w:pPr>
        <w:bidi w:val="0"/>
        <w:rPr>
          <w:lang w:val="en-US" w:eastAsia="zh-CN"/>
        </w:rPr>
      </w:pPr>
    </w:p>
    <w:p w14:paraId="31024328">
      <w:pPr>
        <w:bidi w:val="0"/>
        <w:rPr>
          <w:lang w:val="en-US" w:eastAsia="zh-CN"/>
        </w:rPr>
      </w:pPr>
    </w:p>
    <w:p w14:paraId="44162E39">
      <w:pPr>
        <w:bidi w:val="0"/>
        <w:rPr>
          <w:lang w:val="en-US" w:eastAsia="zh-CN"/>
        </w:rPr>
      </w:pPr>
    </w:p>
    <w:p w14:paraId="30396425">
      <w:pPr>
        <w:bidi w:val="0"/>
        <w:rPr>
          <w:lang w:val="en-US" w:eastAsia="zh-CN"/>
        </w:rPr>
      </w:pPr>
    </w:p>
    <w:p w14:paraId="63C16170">
      <w:pPr>
        <w:bidi w:val="0"/>
        <w:rPr>
          <w:lang w:val="en-US" w:eastAsia="zh-CN"/>
        </w:rPr>
      </w:pPr>
    </w:p>
    <w:p w14:paraId="62764EA9">
      <w:pPr>
        <w:bidi w:val="0"/>
        <w:rPr>
          <w:lang w:val="en-US" w:eastAsia="zh-CN"/>
        </w:rPr>
      </w:pPr>
    </w:p>
    <w:p w14:paraId="3F1C5F5F">
      <w:pPr>
        <w:bidi w:val="0"/>
        <w:rPr>
          <w:lang w:val="en-US" w:eastAsia="zh-CN"/>
        </w:rPr>
      </w:pPr>
    </w:p>
    <w:p w14:paraId="1C457EA3">
      <w:pPr>
        <w:bidi w:val="0"/>
        <w:rPr>
          <w:lang w:val="en-US" w:eastAsia="zh-CN"/>
        </w:rPr>
      </w:pPr>
    </w:p>
    <w:p w14:paraId="628CA215">
      <w:pPr>
        <w:bidi w:val="0"/>
        <w:rPr>
          <w:lang w:val="en-US" w:eastAsia="zh-CN"/>
        </w:rPr>
      </w:pPr>
    </w:p>
    <w:p w14:paraId="67417146">
      <w:pPr>
        <w:bidi w:val="0"/>
        <w:rPr>
          <w:lang w:val="en-US" w:eastAsia="zh-CN"/>
        </w:rPr>
      </w:pPr>
    </w:p>
    <w:p w14:paraId="46C2866B">
      <w:pPr>
        <w:keepNext/>
        <w:keepLines w:val="0"/>
        <w:pageBreakBefore/>
        <w:widowControl w:val="0"/>
        <w:shd w:val="clear" w:color="FFFFFF"/>
        <w:kinsoku/>
        <w:wordWrap/>
        <w:overflowPunct w:val="0"/>
        <w:topLinePunct w:val="0"/>
        <w:autoSpaceDE/>
        <w:autoSpaceDN/>
        <w:bidi w:val="0"/>
        <w:adjustRightInd/>
        <w:snapToGrid/>
        <w:spacing w:before="850" w:after="680" w:line="240" w:lineRule="auto"/>
        <w:jc w:val="center"/>
        <w:textAlignment w:val="auto"/>
        <w:outlineLvl w:val="9"/>
        <w:rPr>
          <w:rFonts w:hint="eastAsia" w:ascii="黑体" w:hAnsi="黑体" w:eastAsia="黑体" w:cs="黑体"/>
          <w:sz w:val="36"/>
          <w:szCs w:val="21"/>
        </w:rPr>
      </w:pPr>
      <w:bookmarkStart w:id="8" w:name="_Toc13619"/>
      <w:r>
        <w:rPr>
          <w:rFonts w:hint="eastAsia" w:ascii="黑体" w:hAnsi="黑体" w:eastAsia="黑体" w:cs="黑体"/>
          <w:sz w:val="36"/>
          <w:szCs w:val="21"/>
        </w:rPr>
        <w:t>前    言</w:t>
      </w:r>
      <w:bookmarkEnd w:id="8"/>
    </w:p>
    <w:p w14:paraId="67F49194">
      <w:pPr>
        <w:keepNext w:val="0"/>
        <w:keepLines w:val="0"/>
        <w:pageBreakBefore w:val="0"/>
        <w:widowControl w:val="0"/>
        <w:kinsoku/>
        <w:wordWrap/>
        <w:overflowPunct/>
        <w:topLinePunct w:val="0"/>
        <w:autoSpaceDE/>
        <w:autoSpaceDN/>
        <w:bidi w:val="0"/>
        <w:adjustRightInd w:val="0"/>
        <w:snapToGrid w:val="0"/>
        <w:spacing w:after="157" w:afterLines="50" w:line="240" w:lineRule="auto"/>
        <w:ind w:firstLine="420" w:firstLineChars="200"/>
        <w:textAlignment w:val="auto"/>
        <w:rPr>
          <w:rFonts w:ascii="Times New Roman" w:hAnsi="Times New Roman"/>
          <w:color w:val="000000" w:themeColor="text1"/>
          <w:kern w:val="0"/>
          <w:sz w:val="21"/>
          <w:szCs w:val="21"/>
          <w14:textFill>
            <w14:solidFill>
              <w14:schemeClr w14:val="tx1"/>
            </w14:solidFill>
          </w14:textFill>
        </w:rPr>
      </w:pPr>
      <w:r>
        <w:rPr>
          <w:rFonts w:hint="eastAsia" w:ascii="Times New Roman" w:hAnsi="Times New Roman"/>
          <w:color w:val="000000" w:themeColor="text1"/>
          <w:kern w:val="0"/>
          <w:sz w:val="21"/>
          <w:szCs w:val="21"/>
          <w14:textFill>
            <w14:solidFill>
              <w14:schemeClr w14:val="tx1"/>
            </w14:solidFill>
          </w14:textFill>
        </w:rPr>
        <w:t>本文件按照GB/T1.1-2020《标准化工作导则  第1部分：标准化文件的结构和起草规则》的规定起草。</w:t>
      </w:r>
    </w:p>
    <w:p w14:paraId="4655397B">
      <w:pPr>
        <w:keepNext w:val="0"/>
        <w:keepLines w:val="0"/>
        <w:pageBreakBefore w:val="0"/>
        <w:widowControl w:val="0"/>
        <w:kinsoku/>
        <w:wordWrap/>
        <w:overflowPunct/>
        <w:topLinePunct w:val="0"/>
        <w:autoSpaceDE/>
        <w:autoSpaceDN/>
        <w:bidi w:val="0"/>
        <w:adjustRightInd w:val="0"/>
        <w:snapToGrid w:val="0"/>
        <w:spacing w:after="157" w:afterLines="50" w:line="240" w:lineRule="auto"/>
        <w:ind w:firstLine="420" w:firstLineChars="200"/>
        <w:textAlignment w:val="auto"/>
        <w:rPr>
          <w:rFonts w:ascii="Times New Roman" w:hAnsi="Times New Roman"/>
          <w:color w:val="000000" w:themeColor="text1"/>
          <w:kern w:val="0"/>
          <w:sz w:val="21"/>
          <w:szCs w:val="21"/>
          <w14:textFill>
            <w14:solidFill>
              <w14:schemeClr w14:val="tx1"/>
            </w14:solidFill>
          </w14:textFill>
        </w:rPr>
      </w:pPr>
      <w:r>
        <w:rPr>
          <w:rFonts w:hint="eastAsia" w:ascii="Times New Roman" w:hAnsi="Times New Roman"/>
          <w:color w:val="000000" w:themeColor="text1"/>
          <w:kern w:val="0"/>
          <w:sz w:val="21"/>
          <w:szCs w:val="21"/>
          <w14:textFill>
            <w14:solidFill>
              <w14:schemeClr w14:val="tx1"/>
            </w14:solidFill>
          </w14:textFill>
        </w:rPr>
        <w:t>请注意本文件的某些内容可能涉及专利。本文件的发布机构不承担识别专利的责任。</w:t>
      </w:r>
    </w:p>
    <w:p w14:paraId="57B22B19">
      <w:pPr>
        <w:keepNext w:val="0"/>
        <w:keepLines w:val="0"/>
        <w:pageBreakBefore w:val="0"/>
        <w:widowControl w:val="0"/>
        <w:kinsoku/>
        <w:wordWrap/>
        <w:overflowPunct/>
        <w:topLinePunct w:val="0"/>
        <w:autoSpaceDE/>
        <w:autoSpaceDN/>
        <w:bidi w:val="0"/>
        <w:adjustRightInd w:val="0"/>
        <w:snapToGrid w:val="0"/>
        <w:spacing w:after="157" w:afterLines="50" w:line="240" w:lineRule="auto"/>
        <w:ind w:firstLine="420" w:firstLineChars="200"/>
        <w:textAlignment w:val="auto"/>
        <w:rPr>
          <w:rFonts w:hint="eastAsia" w:ascii="Times New Roman" w:hAnsi="Times New Roman" w:eastAsia="宋体"/>
          <w:color w:val="000000" w:themeColor="text1"/>
          <w:kern w:val="0"/>
          <w:sz w:val="21"/>
          <w:szCs w:val="21"/>
          <w:lang w:eastAsia="zh-CN"/>
          <w14:textFill>
            <w14:solidFill>
              <w14:schemeClr w14:val="tx1"/>
            </w14:solidFill>
          </w14:textFill>
        </w:rPr>
      </w:pPr>
      <w:r>
        <w:rPr>
          <w:rFonts w:hint="eastAsia" w:ascii="Times New Roman" w:hAnsi="Times New Roman"/>
          <w:color w:val="000000" w:themeColor="text1"/>
          <w:kern w:val="0"/>
          <w:sz w:val="21"/>
          <w:szCs w:val="21"/>
          <w14:textFill>
            <w14:solidFill>
              <w14:schemeClr w14:val="tx1"/>
            </w14:solidFill>
          </w14:textFill>
        </w:rPr>
        <w:t>本文件由</w:t>
      </w:r>
      <w:r>
        <w:rPr>
          <w:rFonts w:hint="default" w:ascii="Times New Roman" w:hAnsi="Times New Roman" w:cs="Times New Roman"/>
          <w:color w:val="000000"/>
          <w:lang w:val="en-US" w:eastAsia="zh-CN"/>
        </w:rPr>
        <w:t>中国科学院</w:t>
      </w:r>
      <w:r>
        <w:rPr>
          <w:rFonts w:hint="default" w:ascii="Times New Roman" w:hAnsi="Times New Roman" w:cs="Times New Roman"/>
          <w:color w:val="000000"/>
          <w:lang w:eastAsia="zh-CN"/>
        </w:rPr>
        <w:t>南京土壤</w:t>
      </w:r>
      <w:r>
        <w:rPr>
          <w:rFonts w:hint="default" w:ascii="Times New Roman" w:hAnsi="Times New Roman" w:cs="Times New Roman"/>
          <w:color w:val="000000"/>
          <w:lang w:val="en-US" w:eastAsia="zh-CN"/>
        </w:rPr>
        <w:t>研究</w:t>
      </w:r>
      <w:r>
        <w:rPr>
          <w:rFonts w:hint="default" w:ascii="Times New Roman" w:hAnsi="Times New Roman" w:cs="Times New Roman"/>
          <w:color w:val="000000"/>
          <w:lang w:eastAsia="zh-CN"/>
        </w:rPr>
        <w:t>所</w:t>
      </w:r>
      <w:r>
        <w:rPr>
          <w:rFonts w:hint="eastAsia" w:ascii="Times New Roman" w:hAnsi="Times New Roman"/>
          <w:color w:val="000000" w:themeColor="text1"/>
          <w:kern w:val="0"/>
          <w:sz w:val="21"/>
          <w:szCs w:val="21"/>
          <w14:textFill>
            <w14:solidFill>
              <w14:schemeClr w14:val="tx1"/>
            </w14:solidFill>
          </w14:textFill>
        </w:rPr>
        <w:t>提出。</w:t>
      </w:r>
    </w:p>
    <w:p w14:paraId="4FC792CB">
      <w:pPr>
        <w:keepNext w:val="0"/>
        <w:keepLines w:val="0"/>
        <w:pageBreakBefore w:val="0"/>
        <w:widowControl w:val="0"/>
        <w:kinsoku/>
        <w:wordWrap/>
        <w:overflowPunct/>
        <w:topLinePunct w:val="0"/>
        <w:autoSpaceDE/>
        <w:autoSpaceDN/>
        <w:bidi w:val="0"/>
        <w:adjustRightInd w:val="0"/>
        <w:snapToGrid w:val="0"/>
        <w:spacing w:after="157" w:afterLines="50" w:line="240" w:lineRule="auto"/>
        <w:ind w:firstLine="420" w:firstLineChars="200"/>
        <w:textAlignment w:val="auto"/>
        <w:rPr>
          <w:rFonts w:ascii="Times New Roman" w:hAnsi="Times New Roman"/>
          <w:color w:val="000000" w:themeColor="text1"/>
          <w:kern w:val="0"/>
          <w:sz w:val="21"/>
          <w:szCs w:val="21"/>
          <w14:textFill>
            <w14:solidFill>
              <w14:schemeClr w14:val="tx1"/>
            </w14:solidFill>
          </w14:textFill>
        </w:rPr>
      </w:pPr>
      <w:r>
        <w:rPr>
          <w:rFonts w:hint="eastAsia" w:ascii="Times New Roman" w:hAnsi="Times New Roman"/>
          <w:color w:val="000000" w:themeColor="text1"/>
          <w:kern w:val="0"/>
          <w:sz w:val="21"/>
          <w:szCs w:val="21"/>
          <w14:textFill>
            <w14:solidFill>
              <w14:schemeClr w14:val="tx1"/>
            </w14:solidFill>
          </w14:textFill>
        </w:rPr>
        <w:t>本文件由</w:t>
      </w:r>
      <w:r>
        <w:rPr>
          <w:rFonts w:hint="eastAsia" w:ascii="Times New Roman" w:hAnsi="Times New Roman"/>
          <w:color w:val="000000" w:themeColor="text1"/>
          <w:kern w:val="0"/>
          <w:sz w:val="21"/>
          <w:szCs w:val="21"/>
          <w:lang w:val="en-US" w:eastAsia="zh-CN"/>
          <w14:textFill>
            <w14:solidFill>
              <w14:schemeClr w14:val="tx1"/>
            </w14:solidFill>
          </w14:textFill>
        </w:rPr>
        <w:t>中华环保联合会</w:t>
      </w:r>
      <w:r>
        <w:rPr>
          <w:rFonts w:hint="eastAsia" w:ascii="Times New Roman" w:hAnsi="Times New Roman"/>
          <w:color w:val="000000" w:themeColor="text1"/>
          <w:kern w:val="0"/>
          <w:sz w:val="21"/>
          <w:szCs w:val="21"/>
          <w14:textFill>
            <w14:solidFill>
              <w14:schemeClr w14:val="tx1"/>
            </w14:solidFill>
          </w14:textFill>
        </w:rPr>
        <w:t>归口。</w:t>
      </w:r>
    </w:p>
    <w:p w14:paraId="1F2DE73A">
      <w:pPr>
        <w:keepNext w:val="0"/>
        <w:keepLines w:val="0"/>
        <w:pageBreakBefore w:val="0"/>
        <w:widowControl w:val="0"/>
        <w:kinsoku/>
        <w:wordWrap/>
        <w:overflowPunct/>
        <w:topLinePunct w:val="0"/>
        <w:autoSpaceDE/>
        <w:autoSpaceDN/>
        <w:bidi w:val="0"/>
        <w:adjustRightInd w:val="0"/>
        <w:snapToGrid w:val="0"/>
        <w:spacing w:after="157" w:afterLines="50" w:line="240" w:lineRule="auto"/>
        <w:ind w:firstLine="420" w:firstLineChars="200"/>
        <w:textAlignment w:val="auto"/>
        <w:rPr>
          <w:rFonts w:ascii="Times New Roman" w:hAnsi="Times New Roman"/>
          <w:color w:val="000000" w:themeColor="text1"/>
          <w:kern w:val="0"/>
          <w:sz w:val="21"/>
          <w:szCs w:val="21"/>
          <w14:textFill>
            <w14:solidFill>
              <w14:schemeClr w14:val="tx1"/>
            </w14:solidFill>
          </w14:textFill>
        </w:rPr>
      </w:pPr>
      <w:r>
        <w:rPr>
          <w:rFonts w:hint="eastAsia" w:ascii="Times New Roman" w:hAnsi="Times New Roman"/>
          <w:color w:val="000000" w:themeColor="text1"/>
          <w:kern w:val="0"/>
          <w:sz w:val="21"/>
          <w:szCs w:val="21"/>
          <w14:textFill>
            <w14:solidFill>
              <w14:schemeClr w14:val="tx1"/>
            </w14:solidFill>
          </w14:textFill>
        </w:rPr>
        <w:t>本文件起草单位：</w:t>
      </w:r>
      <w:r>
        <w:rPr>
          <w:rFonts w:hint="default" w:ascii="Times New Roman" w:hAnsi="Times New Roman" w:cs="Times New Roman"/>
          <w:color w:val="000000"/>
          <w:lang w:val="en-US" w:eastAsia="zh-CN"/>
        </w:rPr>
        <w:t>中国科学院</w:t>
      </w:r>
      <w:r>
        <w:rPr>
          <w:rFonts w:hint="default" w:ascii="Times New Roman" w:hAnsi="Times New Roman" w:cs="Times New Roman"/>
          <w:color w:val="000000"/>
          <w:lang w:eastAsia="zh-CN"/>
        </w:rPr>
        <w:t>南京土壤</w:t>
      </w:r>
      <w:r>
        <w:rPr>
          <w:rFonts w:hint="default" w:ascii="Times New Roman" w:hAnsi="Times New Roman" w:cs="Times New Roman"/>
          <w:color w:val="000000"/>
          <w:lang w:val="en-US" w:eastAsia="zh-CN"/>
        </w:rPr>
        <w:t>研究</w:t>
      </w:r>
      <w:r>
        <w:rPr>
          <w:rFonts w:hint="default" w:ascii="Times New Roman" w:hAnsi="Times New Roman" w:cs="Times New Roman"/>
          <w:color w:val="000000"/>
          <w:lang w:eastAsia="zh-CN"/>
        </w:rPr>
        <w:t>所、</w:t>
      </w:r>
      <w:r>
        <w:rPr>
          <w:rFonts w:hint="default" w:ascii="Times New Roman" w:hAnsi="Times New Roman" w:cs="Times New Roman"/>
          <w:color w:val="000000"/>
          <w:lang w:eastAsia="zh-CN"/>
        </w:rPr>
        <w:fldChar w:fldCharType="begin"/>
      </w:r>
      <w:r>
        <w:rPr>
          <w:rFonts w:hint="default" w:ascii="Times New Roman" w:hAnsi="Times New Roman" w:cs="Times New Roman"/>
          <w:color w:val="000000"/>
          <w:lang w:eastAsia="zh-CN"/>
        </w:rPr>
        <w:instrText xml:space="preserve"> HYPERLINK "http://www.baidu.com/link?url=hOI-i11RrHF0mcBCaJZnD2WYB_rSxYgfVsWtEPiiLPaLtteG3lMIJdBhvDTWNGo5pqEvo9fypJr8pXR73UDiGklGjS1oTCGHQPCEGoyXzw1KUbwKSnHUHmwDd56PVwiykScjF-cdeTajpNyDHwsdfs55GECgtlwICQcObSswJI3yIOyNhPQy6jtNQsLusORP6b5tou1fj5UqR1MgL6ijUg5Y85LSPgNKkaGdQbvWIdBuCdNoGu1hJoq6byZIEUDSbQdfXM2ang7oO42RAKsicATz59dA_8ZxRcktJiXpnwhzIEN-1wbgfHxHPrs6AESM&amp;wd=&amp;eqid=d4001ce40012516900000004673d5496" \t "https://www.baidu.com/_blank" </w:instrText>
      </w:r>
      <w:r>
        <w:rPr>
          <w:rFonts w:hint="default" w:ascii="Times New Roman" w:hAnsi="Times New Roman" w:cs="Times New Roman"/>
          <w:color w:val="000000"/>
          <w:lang w:eastAsia="zh-CN"/>
        </w:rPr>
        <w:fldChar w:fldCharType="separate"/>
      </w:r>
      <w:r>
        <w:rPr>
          <w:rFonts w:hint="default" w:ascii="Times New Roman" w:hAnsi="Times New Roman" w:cs="Times New Roman"/>
          <w:color w:val="000000"/>
          <w:lang w:eastAsia="zh-CN"/>
        </w:rPr>
        <w:t>生态环境部固体废物与化学品管理技术中心</w:t>
      </w:r>
      <w:r>
        <w:rPr>
          <w:rFonts w:hint="default" w:ascii="Times New Roman" w:hAnsi="Times New Roman" w:cs="Times New Roman"/>
          <w:color w:val="000000"/>
          <w:lang w:eastAsia="zh-CN"/>
        </w:rPr>
        <w:fldChar w:fldCharType="end"/>
      </w:r>
      <w:r>
        <w:rPr>
          <w:rFonts w:hint="default" w:ascii="Times New Roman" w:hAnsi="Times New Roman" w:cs="Times New Roman"/>
          <w:color w:val="000000"/>
          <w:lang w:eastAsia="zh-CN"/>
        </w:rPr>
        <w:t>、</w:t>
      </w:r>
      <w:r>
        <w:rPr>
          <w:rFonts w:hint="default" w:ascii="Times New Roman" w:hAnsi="Times New Roman" w:cs="Times New Roman"/>
          <w:color w:val="000000"/>
        </w:rPr>
        <w:fldChar w:fldCharType="begin"/>
      </w:r>
      <w:r>
        <w:rPr>
          <w:rFonts w:hint="default" w:ascii="Times New Roman" w:hAnsi="Times New Roman" w:cs="Times New Roman"/>
          <w:color w:val="000000"/>
        </w:rPr>
        <w:instrText xml:space="preserve"> HYPERLINK "https://aiqicha.baidu.com/detail/compinfo?pid=82591829435218&amp;rq=efn&amp;pd=ee&amp;from=ps&amp;query=江西赣锋锂业股份有限公司" \t "https://www.baidu.com/_blank" </w:instrText>
      </w:r>
      <w:r>
        <w:rPr>
          <w:rFonts w:hint="default" w:ascii="Times New Roman" w:hAnsi="Times New Roman" w:cs="Times New Roman"/>
          <w:color w:val="000000"/>
        </w:rPr>
        <w:fldChar w:fldCharType="separate"/>
      </w:r>
      <w:r>
        <w:rPr>
          <w:rFonts w:hint="default" w:ascii="Times New Roman" w:hAnsi="Times New Roman" w:cs="Times New Roman"/>
          <w:color w:val="000000"/>
        </w:rPr>
        <w:t>江西赣锋锂业集团股份有限公司</w:t>
      </w:r>
      <w:r>
        <w:rPr>
          <w:rFonts w:hint="default" w:ascii="Times New Roman" w:hAnsi="Times New Roman" w:cs="Times New Roman"/>
          <w:color w:val="000000"/>
        </w:rPr>
        <w:fldChar w:fldCharType="end"/>
      </w:r>
      <w:r>
        <w:rPr>
          <w:rFonts w:hint="default" w:ascii="Times New Roman" w:hAnsi="Times New Roman" w:cs="Times New Roman"/>
          <w:color w:val="000000"/>
          <w:lang w:eastAsia="zh-CN"/>
        </w:rPr>
        <w:t>、</w:t>
      </w:r>
      <w:r>
        <w:rPr>
          <w:rFonts w:hint="default" w:ascii="Times New Roman" w:hAnsi="Times New Roman" w:cs="Times New Roman"/>
          <w:color w:val="000000"/>
          <w:lang w:eastAsia="zh-CN"/>
        </w:rPr>
        <w:fldChar w:fldCharType="begin"/>
      </w:r>
      <w:r>
        <w:rPr>
          <w:rFonts w:hint="default" w:ascii="Times New Roman" w:hAnsi="Times New Roman" w:cs="Times New Roman"/>
          <w:color w:val="000000"/>
          <w:lang w:eastAsia="zh-CN"/>
        </w:rPr>
        <w:instrText xml:space="preserve"> HYPERLINK "http://www.baidu.com/link?url=z2hOTobIhAdqHvniAdZPLBIL9PGpiRsIvaPssiZEske&amp;wd=&amp;eqid=f07f0f0a001ca5d300000004673d501e" \t "https://www.baidu.com/_blank" </w:instrText>
      </w:r>
      <w:r>
        <w:rPr>
          <w:rFonts w:hint="default" w:ascii="Times New Roman" w:hAnsi="Times New Roman" w:cs="Times New Roman"/>
          <w:color w:val="000000"/>
          <w:lang w:eastAsia="zh-CN"/>
        </w:rPr>
        <w:fldChar w:fldCharType="separate"/>
      </w:r>
      <w:r>
        <w:rPr>
          <w:rFonts w:hint="default" w:ascii="Times New Roman" w:hAnsi="Times New Roman" w:cs="Times New Roman"/>
          <w:color w:val="000000"/>
          <w:lang w:eastAsia="zh-CN"/>
        </w:rPr>
        <w:t>中国科学院过程工程研究所</w:t>
      </w:r>
      <w:r>
        <w:rPr>
          <w:rFonts w:hint="default" w:ascii="Times New Roman" w:hAnsi="Times New Roman" w:cs="Times New Roman"/>
          <w:color w:val="000000"/>
          <w:lang w:eastAsia="zh-CN"/>
        </w:rPr>
        <w:fldChar w:fldCharType="end"/>
      </w:r>
      <w:r>
        <w:rPr>
          <w:rFonts w:hint="default" w:ascii="Times New Roman" w:hAnsi="Times New Roman" w:cs="Times New Roman"/>
          <w:color w:val="000000"/>
          <w:lang w:eastAsia="zh-CN"/>
        </w:rPr>
        <w:t>、</w:t>
      </w:r>
      <w:r>
        <w:rPr>
          <w:rFonts w:hint="default" w:ascii="Times New Roman" w:hAnsi="Times New Roman" w:cs="Times New Roman"/>
          <w:color w:val="000000"/>
          <w:lang w:eastAsia="zh-CN"/>
        </w:rPr>
        <w:fldChar w:fldCharType="begin"/>
      </w:r>
      <w:r>
        <w:rPr>
          <w:rFonts w:hint="default" w:ascii="Times New Roman" w:hAnsi="Times New Roman" w:cs="Times New Roman"/>
          <w:color w:val="000000"/>
          <w:lang w:eastAsia="zh-CN"/>
        </w:rPr>
        <w:instrText xml:space="preserve"> HYPERLINK "http://www.baidu.com/link?url=BrusJohuALnZ5GhqGjuFAr8OBfHvr3JuFN41DO4u81ffGvoOD0J5h9NxEtwuV4Jx4qfunEFyBPZhCSPcVkqceUw6zvNLGOM7HTMOgN7hZTAMSNnh6m25GmCiIMX6deejD-GIm91wY4djsiJNCvW5j_nhgbouuwBteGQoCIN66RnbaM2PsPMadMNOXuR0jVhzqfdu8lOg0HDkQ-4j79bDlZaYKWVFTZ-9g1_Meh2oYc3&amp;wd=&amp;eqid=f61d9cec00110c2800000004673d5031" \t "https://www.baidu.com/_blank" </w:instrText>
      </w:r>
      <w:r>
        <w:rPr>
          <w:rFonts w:hint="default" w:ascii="Times New Roman" w:hAnsi="Times New Roman" w:cs="Times New Roman"/>
          <w:color w:val="000000"/>
          <w:lang w:eastAsia="zh-CN"/>
        </w:rPr>
        <w:fldChar w:fldCharType="separate"/>
      </w:r>
      <w:r>
        <w:rPr>
          <w:rFonts w:hint="default" w:ascii="Times New Roman" w:hAnsi="Times New Roman" w:cs="Times New Roman"/>
          <w:color w:val="000000"/>
          <w:lang w:eastAsia="zh-CN"/>
        </w:rPr>
        <w:t>中国科学院赣江创新研究院</w:t>
      </w:r>
      <w:r>
        <w:rPr>
          <w:rFonts w:hint="default" w:ascii="Times New Roman" w:hAnsi="Times New Roman" w:cs="Times New Roman"/>
          <w:color w:val="000000"/>
          <w:lang w:eastAsia="zh-CN"/>
        </w:rPr>
        <w:fldChar w:fldCharType="end"/>
      </w:r>
      <w:r>
        <w:rPr>
          <w:rFonts w:hint="eastAsia" w:ascii="Times New Roman" w:cs="Times New Roman"/>
          <w:color w:val="000000"/>
          <w:lang w:eastAsia="zh-CN"/>
        </w:rPr>
        <w:t>、</w:t>
      </w:r>
      <w:r>
        <w:rPr>
          <w:rFonts w:hint="default" w:ascii="Times New Roman" w:hAnsi="Times New Roman" w:cs="Times New Roman"/>
          <w:color w:val="000000"/>
          <w:lang w:eastAsia="zh-CN"/>
        </w:rPr>
        <w:fldChar w:fldCharType="begin"/>
      </w:r>
      <w:r>
        <w:rPr>
          <w:rFonts w:hint="default" w:ascii="Times New Roman" w:hAnsi="Times New Roman" w:cs="Times New Roman"/>
          <w:color w:val="000000"/>
          <w:lang w:eastAsia="zh-CN"/>
        </w:rPr>
        <w:instrText xml:space="preserve"> HYPERLINK "http://www.baidu.com/link?url=HqSvIaAPUax4cGo5k0OWe4vVzhaiCdbsh0UB4hi-z07&amp;wd=&amp;eqid=fdaa9556002ac3dc00000004673d4fb8" \t "https://www.baidu.com/_blank" </w:instrText>
      </w:r>
      <w:r>
        <w:rPr>
          <w:rFonts w:hint="default" w:ascii="Times New Roman" w:hAnsi="Times New Roman" w:cs="Times New Roman"/>
          <w:color w:val="000000"/>
          <w:lang w:eastAsia="zh-CN"/>
        </w:rPr>
        <w:fldChar w:fldCharType="separate"/>
      </w:r>
      <w:r>
        <w:rPr>
          <w:rFonts w:hint="default" w:ascii="Times New Roman" w:hAnsi="Times New Roman" w:cs="Times New Roman"/>
          <w:color w:val="000000"/>
          <w:lang w:eastAsia="zh-CN"/>
        </w:rPr>
        <w:t>生态环境部南京环境科学研究所</w:t>
      </w:r>
      <w:r>
        <w:rPr>
          <w:rFonts w:hint="default" w:ascii="Times New Roman" w:hAnsi="Times New Roman" w:cs="Times New Roman"/>
          <w:color w:val="000000"/>
          <w:lang w:eastAsia="zh-CN"/>
        </w:rPr>
        <w:fldChar w:fldCharType="end"/>
      </w:r>
      <w:r>
        <w:rPr>
          <w:rFonts w:hint="eastAsia" w:ascii="Times New Roman" w:hAnsi="Times New Roman" w:cs="Times New Roman"/>
          <w:color w:val="000000"/>
          <w:lang w:eastAsia="zh-CN"/>
        </w:rPr>
        <w:t>、</w:t>
      </w:r>
      <w:r>
        <w:rPr>
          <w:rFonts w:hint="default" w:ascii="Times New Roman"/>
          <w:color w:val="000000"/>
          <w:lang w:eastAsia="zh-CN"/>
        </w:rPr>
        <w:fldChar w:fldCharType="begin"/>
      </w:r>
      <w:r>
        <w:rPr>
          <w:rFonts w:hint="default" w:ascii="Times New Roman"/>
          <w:color w:val="000000"/>
          <w:lang w:eastAsia="zh-CN"/>
        </w:rPr>
        <w:instrText xml:space="preserve"> HYPERLINK "http://www.baidu.com/link?url=NLaqj9uQZ_Tdd7r9_Oh5NTSmmj2rfsDUZicqT6CF-M6qVP9MaH-L9z82H79foByyAvuE_iI4f1LLFRcXWvTXkqPZgJNoroTsZwIY19niIgxWuJjiaYwEeYFIRaQvQwFl&amp;wd=&amp;eqid=dfc939cb0000bf0100000004673d4f3d" \t "https://www.baidu.com/_blank" </w:instrText>
      </w:r>
      <w:r>
        <w:rPr>
          <w:rFonts w:hint="default" w:ascii="Times New Roman"/>
          <w:color w:val="000000"/>
          <w:lang w:eastAsia="zh-CN"/>
        </w:rPr>
        <w:fldChar w:fldCharType="separate"/>
      </w:r>
      <w:r>
        <w:rPr>
          <w:rFonts w:hint="default" w:ascii="Times New Roman"/>
          <w:color w:val="000000"/>
          <w:lang w:eastAsia="zh-CN"/>
        </w:rPr>
        <w:t>江西省国土空间调查规划研究院</w:t>
      </w:r>
      <w:r>
        <w:rPr>
          <w:rFonts w:hint="default" w:ascii="Times New Roman"/>
          <w:color w:val="000000"/>
          <w:lang w:eastAsia="zh-CN"/>
        </w:rPr>
        <w:fldChar w:fldCharType="end"/>
      </w:r>
      <w:r>
        <w:rPr>
          <w:rFonts w:hint="default" w:ascii="Times New Roman"/>
          <w:color w:val="000000"/>
          <w:lang w:eastAsia="zh-CN"/>
        </w:rPr>
        <w:t>、江西省生态环境科学研究与规划院</w:t>
      </w:r>
      <w:r>
        <w:rPr>
          <w:rFonts w:hint="eastAsia" w:ascii="Times New Roman" w:hAnsi="Times New Roman"/>
          <w:color w:val="000000" w:themeColor="text1"/>
          <w:kern w:val="0"/>
          <w:sz w:val="21"/>
          <w:szCs w:val="21"/>
          <w14:textFill>
            <w14:solidFill>
              <w14:schemeClr w14:val="tx1"/>
            </w14:solidFill>
          </w14:textFill>
        </w:rPr>
        <w:t>。</w:t>
      </w:r>
    </w:p>
    <w:p w14:paraId="2546FE8F">
      <w:pPr>
        <w:keepNext w:val="0"/>
        <w:keepLines w:val="0"/>
        <w:pageBreakBefore w:val="0"/>
        <w:widowControl w:val="0"/>
        <w:kinsoku/>
        <w:wordWrap/>
        <w:overflowPunct/>
        <w:topLinePunct w:val="0"/>
        <w:autoSpaceDE/>
        <w:autoSpaceDN/>
        <w:bidi w:val="0"/>
        <w:adjustRightInd w:val="0"/>
        <w:snapToGrid w:val="0"/>
        <w:spacing w:after="157" w:afterLines="50" w:line="240" w:lineRule="auto"/>
        <w:ind w:firstLine="420" w:firstLineChars="200"/>
        <w:textAlignment w:val="auto"/>
        <w:rPr>
          <w:rFonts w:ascii="Times New Roman" w:hAnsi="Times New Roman"/>
          <w:color w:val="000000" w:themeColor="text1"/>
          <w:sz w:val="21"/>
          <w:szCs w:val="21"/>
          <w14:textFill>
            <w14:solidFill>
              <w14:schemeClr w14:val="tx1"/>
            </w14:solidFill>
          </w14:textFill>
        </w:rPr>
      </w:pPr>
      <w:r>
        <w:rPr>
          <w:rFonts w:hint="eastAsia" w:ascii="Times New Roman" w:hAnsi="Times New Roman"/>
          <w:color w:val="000000" w:themeColor="text1"/>
          <w:kern w:val="0"/>
          <w:sz w:val="21"/>
          <w:szCs w:val="21"/>
          <w14:textFill>
            <w14:solidFill>
              <w14:schemeClr w14:val="tx1"/>
            </w14:solidFill>
          </w14:textFill>
        </w:rPr>
        <w:t>本文件主要起草人：</w:t>
      </w:r>
      <w:r>
        <w:rPr>
          <w:rFonts w:hint="default" w:ascii="Times New Roman" w:hAnsi="Times New Roman" w:cs="Times New Roman"/>
          <w:color w:val="000000"/>
          <w:lang w:val="en-US" w:eastAsia="zh-CN"/>
        </w:rPr>
        <w:t>滕应、徐勇峰</w:t>
      </w:r>
      <w:r>
        <w:rPr>
          <w:rFonts w:hint="eastAsia" w:ascii="Times New Roman" w:cs="Times New Roman"/>
          <w:color w:val="000000"/>
          <w:lang w:val="en-US" w:eastAsia="zh-CN"/>
        </w:rPr>
        <w:t>、</w:t>
      </w:r>
      <w:r>
        <w:rPr>
          <w:rFonts w:hint="default" w:ascii="Times New Roman" w:hAnsi="Times New Roman" w:cs="Times New Roman"/>
          <w:color w:val="000000"/>
          <w:lang w:val="en-US" w:eastAsia="zh-CN"/>
        </w:rPr>
        <w:t>任文杰、赵玲、张靖</w:t>
      </w:r>
      <w:r>
        <w:rPr>
          <w:rFonts w:hint="eastAsia" w:cs="Times New Roman"/>
          <w:color w:val="000000"/>
          <w:lang w:val="en-US" w:eastAsia="zh-CN"/>
        </w:rPr>
        <w:t>雲</w:t>
      </w:r>
      <w:r>
        <w:rPr>
          <w:rFonts w:hint="default" w:ascii="Times New Roman" w:hAnsi="Times New Roman" w:cs="Times New Roman"/>
          <w:color w:val="000000"/>
          <w:lang w:val="en-US" w:eastAsia="zh-CN"/>
        </w:rPr>
        <w:t>、许涓、彭爱平、李会泉、王东、李强</w:t>
      </w:r>
      <w:r>
        <w:rPr>
          <w:rFonts w:hint="eastAsia" w:ascii="Times New Roman" w:cs="Times New Roman"/>
          <w:color w:val="000000"/>
          <w:lang w:val="en-US" w:eastAsia="zh-CN"/>
        </w:rPr>
        <w:t>、</w:t>
      </w:r>
      <w:r>
        <w:rPr>
          <w:rFonts w:hint="default" w:ascii="Times New Roman" w:hAnsi="Times New Roman" w:cs="Times New Roman"/>
          <w:color w:val="000000"/>
          <w:lang w:val="en-US" w:eastAsia="zh-CN"/>
        </w:rPr>
        <w:t>甘信宏</w:t>
      </w:r>
      <w:r>
        <w:rPr>
          <w:rFonts w:hint="eastAsia" w:ascii="Times New Roman" w:hAnsi="Times New Roman"/>
          <w:color w:val="000000" w:themeColor="text1"/>
          <w:kern w:val="0"/>
          <w:sz w:val="21"/>
          <w:szCs w:val="21"/>
          <w14:textFill>
            <w14:solidFill>
              <w14:schemeClr w14:val="tx1"/>
            </w14:solidFill>
          </w14:textFill>
        </w:rPr>
        <w:t>、</w:t>
      </w:r>
      <w:r>
        <w:rPr>
          <w:rFonts w:hint="eastAsia"/>
          <w:color w:val="000000"/>
          <w:lang w:val="en-US" w:eastAsia="zh-CN"/>
        </w:rPr>
        <w:t>万敏、</w:t>
      </w:r>
      <w:r>
        <w:rPr>
          <w:rFonts w:hint="eastAsia" w:ascii="宋体" w:eastAsia="宋体"/>
          <w:color w:val="000000"/>
          <w:sz w:val="21"/>
          <w:szCs w:val="20"/>
        </w:rPr>
        <w:t>汪帅马</w:t>
      </w:r>
      <w:r>
        <w:rPr>
          <w:rFonts w:hint="eastAsia" w:ascii="Times New Roman" w:hAnsi="Times New Roman"/>
          <w:color w:val="000000" w:themeColor="text1"/>
          <w:kern w:val="0"/>
          <w:sz w:val="21"/>
          <w:szCs w:val="21"/>
          <w14:textFill>
            <w14:solidFill>
              <w14:schemeClr w14:val="tx1"/>
            </w14:solidFill>
          </w14:textFill>
        </w:rPr>
        <w:t>。</w:t>
      </w:r>
    </w:p>
    <w:p w14:paraId="5041C07B">
      <w:pPr>
        <w:spacing w:before="0" w:line="360" w:lineRule="auto"/>
        <w:ind w:left="0" w:firstLine="420" w:firstLineChars="200"/>
        <w:jc w:val="both"/>
        <w:rPr>
          <w:rFonts w:ascii="Times New Roman" w:hAnsi="Times New Roman"/>
          <w:color w:val="000000"/>
          <w:lang w:eastAsia="zh-CN"/>
        </w:rPr>
      </w:pPr>
    </w:p>
    <w:p w14:paraId="5E747888">
      <w:pPr>
        <w:adjustRightInd w:val="0"/>
        <w:snapToGrid w:val="0"/>
        <w:spacing w:before="0" w:line="360" w:lineRule="auto"/>
        <w:ind w:left="0" w:firstLine="420" w:firstLineChars="200"/>
        <w:jc w:val="both"/>
        <w:rPr>
          <w:rFonts w:ascii="Times New Roman" w:hAnsi="Times New Roman"/>
          <w:color w:val="000000" w:themeColor="text1"/>
          <w:lang w:eastAsia="zh-CN"/>
          <w14:textFill>
            <w14:solidFill>
              <w14:schemeClr w14:val="tx1"/>
            </w14:solidFill>
          </w14:textFill>
        </w:rPr>
      </w:pPr>
    </w:p>
    <w:p w14:paraId="14022A9D">
      <w:pPr>
        <w:adjustRightInd w:val="0"/>
        <w:snapToGrid w:val="0"/>
        <w:spacing w:before="0" w:line="360" w:lineRule="auto"/>
        <w:ind w:left="0" w:firstLine="420" w:firstLineChars="200"/>
        <w:jc w:val="both"/>
        <w:rPr>
          <w:color w:val="000000" w:themeColor="text1"/>
          <w:lang w:eastAsia="zh-CN"/>
          <w14:textFill>
            <w14:solidFill>
              <w14:schemeClr w14:val="tx1"/>
            </w14:solidFill>
          </w14:textFill>
        </w:rPr>
      </w:pPr>
    </w:p>
    <w:p w14:paraId="15894799">
      <w:pPr>
        <w:spacing w:line="360" w:lineRule="auto"/>
        <w:rPr>
          <w:color w:val="000000" w:themeColor="text1"/>
          <w:sz w:val="24"/>
          <w:szCs w:val="24"/>
          <w14:textFill>
            <w14:solidFill>
              <w14:schemeClr w14:val="tx1"/>
            </w14:solidFill>
          </w14:textFill>
        </w:rPr>
        <w:sectPr>
          <w:headerReference r:id="rId7" w:type="default"/>
          <w:footerReference r:id="rId8" w:type="default"/>
          <w:footerReference r:id="rId9" w:type="even"/>
          <w:pgSz w:w="11906" w:h="16838"/>
          <w:pgMar w:top="1417" w:right="1134" w:bottom="1134" w:left="1417" w:header="1020" w:footer="850" w:gutter="0"/>
          <w:pgNumType w:fmt="upperRoman" w:start="1"/>
          <w:cols w:space="0" w:num="1"/>
          <w:rtlGutter w:val="0"/>
          <w:docGrid w:type="lines" w:linePitch="312" w:charSpace="0"/>
        </w:sectPr>
      </w:pPr>
    </w:p>
    <w:p w14:paraId="054AA595">
      <w:pPr>
        <w:keepNext w:val="0"/>
        <w:keepLines w:val="0"/>
        <w:pageBreakBefore w:val="0"/>
        <w:widowControl w:val="0"/>
        <w:kinsoku/>
        <w:wordWrap/>
        <w:overflowPunct/>
        <w:topLinePunct w:val="0"/>
        <w:autoSpaceDE/>
        <w:autoSpaceDN/>
        <w:bidi w:val="0"/>
        <w:adjustRightInd/>
        <w:snapToGrid/>
        <w:spacing w:before="850" w:after="680"/>
        <w:jc w:val="center"/>
        <w:textAlignment w:val="auto"/>
        <w:rPr>
          <w:rFonts w:hint="eastAsia" w:ascii="黑体" w:hAnsi="黑体" w:eastAsia="黑体"/>
          <w:sz w:val="32"/>
          <w:szCs w:val="32"/>
        </w:rPr>
      </w:pPr>
      <w:bookmarkStart w:id="9" w:name="_Toc395187803"/>
      <w:r>
        <w:rPr>
          <w:rFonts w:hint="eastAsia" w:ascii="黑体" w:hAnsi="黑体" w:eastAsia="黑体"/>
          <w:sz w:val="32"/>
          <w:szCs w:val="32"/>
          <w:lang w:val="en-US" w:eastAsia="zh-CN"/>
        </w:rPr>
        <w:t>锂渣用于地表矿坑回填和生态恢复技术指南</w:t>
      </w:r>
    </w:p>
    <w:p w14:paraId="4382888F">
      <w:pPr>
        <w:keepNext w:val="0"/>
        <w:keepLines w:val="0"/>
        <w:pageBreakBefore w:val="0"/>
        <w:widowControl/>
        <w:numPr>
          <w:ilvl w:val="-1"/>
          <w:numId w:val="0"/>
        </w:numPr>
        <w:kinsoku/>
        <w:wordWrap/>
        <w:overflowPunct/>
        <w:topLinePunct w:val="0"/>
        <w:autoSpaceDE/>
        <w:autoSpaceDN/>
        <w:bidi w:val="0"/>
        <w:adjustRightInd/>
        <w:snapToGrid/>
        <w:spacing w:before="0" w:beforeLines="-2147483648" w:after="0" w:afterLines="-2147483648" w:line="720" w:lineRule="auto"/>
        <w:ind w:left="0"/>
        <w:jc w:val="left"/>
        <w:textAlignment w:val="auto"/>
        <w:outlineLvl w:val="0"/>
        <w:rPr>
          <w:rFonts w:hint="eastAsia" w:ascii="黑体" w:hAnsi="黑体" w:eastAsia="黑体"/>
          <w:i w:val="0"/>
          <w:iCs w:val="0"/>
          <w:color w:val="000000" w:themeColor="text1"/>
          <w:lang w:val="en-US" w:eastAsia="zh-CN"/>
          <w14:textFill>
            <w14:solidFill>
              <w14:schemeClr w14:val="tx1"/>
            </w14:solidFill>
          </w14:textFill>
        </w:rPr>
      </w:pPr>
      <w:bookmarkStart w:id="10" w:name="_Toc30422"/>
      <w:bookmarkStart w:id="11" w:name="_Toc19430"/>
      <w:bookmarkStart w:id="12" w:name="_Toc9113"/>
      <w:r>
        <w:rPr>
          <w:rFonts w:hint="eastAsia" w:ascii="黑体" w:hAnsi="黑体" w:eastAsia="黑体"/>
          <w:color w:val="000000" w:themeColor="text1"/>
          <w:lang w:val="en-US" w:eastAsia="zh-CN"/>
          <w14:textFill>
            <w14:solidFill>
              <w14:schemeClr w14:val="tx1"/>
            </w14:solidFill>
          </w14:textFill>
        </w:rPr>
        <w:t>1范围</w:t>
      </w:r>
      <w:bookmarkEnd w:id="9"/>
      <w:bookmarkEnd w:id="10"/>
      <w:bookmarkEnd w:id="11"/>
      <w:bookmarkEnd w:id="12"/>
    </w:p>
    <w:p w14:paraId="24F12E3A">
      <w:pPr>
        <w:spacing w:line="360" w:lineRule="auto"/>
        <w:ind w:firstLine="420" w:firstLineChars="200"/>
        <w:rPr>
          <w:rFonts w:hint="eastAsia"/>
          <w:color w:val="000000" w:themeColor="text1"/>
          <w:szCs w:val="21"/>
          <w14:textFill>
            <w14:solidFill>
              <w14:schemeClr w14:val="tx1"/>
            </w14:solidFill>
          </w14:textFill>
        </w:rPr>
      </w:pPr>
      <w:bookmarkStart w:id="13" w:name="_Toc435177678"/>
      <w:bookmarkStart w:id="14" w:name="_Toc435177482"/>
      <w:r>
        <w:rPr>
          <w:rFonts w:hint="eastAsia"/>
          <w:color w:val="000000" w:themeColor="text1"/>
          <w:szCs w:val="21"/>
          <w14:textFill>
            <w14:solidFill>
              <w14:schemeClr w14:val="tx1"/>
            </w14:solidFill>
          </w14:textFill>
        </w:rPr>
        <w:t>本文件规定了</w:t>
      </w:r>
      <w:r>
        <w:rPr>
          <w:rFonts w:hint="default" w:ascii="Times New Roman" w:hAnsi="Times New Roman" w:cs="Times New Roman"/>
        </w:rPr>
        <w:t>锂渣用于地表矿坑回填和生态恢复</w:t>
      </w:r>
      <w:r>
        <w:rPr>
          <w:rFonts w:hint="default" w:ascii="Times New Roman" w:hAnsi="Times New Roman" w:cs="Times New Roman"/>
          <w:lang w:val="en-US" w:eastAsia="zh-CN"/>
        </w:rPr>
        <w:t>的总体要求、</w:t>
      </w:r>
      <w:r>
        <w:rPr>
          <w:rFonts w:hint="eastAsia" w:cs="Times New Roman"/>
          <w:lang w:val="en-US" w:eastAsia="zh-CN"/>
        </w:rPr>
        <w:t>本底调查</w:t>
      </w:r>
      <w:r>
        <w:rPr>
          <w:rFonts w:hint="default" w:ascii="Times New Roman" w:hAnsi="Times New Roman" w:cs="Times New Roman"/>
          <w:lang w:val="en-US" w:eastAsia="zh-CN"/>
        </w:rPr>
        <w:t>、</w:t>
      </w:r>
      <w:r>
        <w:rPr>
          <w:rFonts w:hint="eastAsia" w:cs="Times New Roman"/>
          <w:lang w:val="en-US" w:eastAsia="zh-CN"/>
        </w:rPr>
        <w:t>锂渣回填材料要求、矿坑回填要求</w:t>
      </w:r>
      <w:r>
        <w:rPr>
          <w:rFonts w:hint="default" w:ascii="Times New Roman" w:hAnsi="Times New Roman" w:cs="Times New Roman"/>
          <w:lang w:val="en-US" w:eastAsia="zh-CN"/>
        </w:rPr>
        <w:t>、生态恢复要求、</w:t>
      </w:r>
      <w:r>
        <w:rPr>
          <w:rFonts w:hint="eastAsia" w:cs="Times New Roman"/>
          <w:lang w:val="en-US" w:eastAsia="zh-CN"/>
        </w:rPr>
        <w:t>环境监测要求和环境管理</w:t>
      </w:r>
      <w:r>
        <w:rPr>
          <w:rFonts w:hint="default" w:ascii="Times New Roman" w:hAnsi="Times New Roman" w:cs="Times New Roman"/>
          <w:lang w:val="en-US" w:eastAsia="zh-CN"/>
        </w:rPr>
        <w:t>等内容</w:t>
      </w:r>
      <w:r>
        <w:rPr>
          <w:rFonts w:hint="eastAsia"/>
          <w:color w:val="000000" w:themeColor="text1"/>
          <w:szCs w:val="21"/>
          <w14:textFill>
            <w14:solidFill>
              <w14:schemeClr w14:val="tx1"/>
            </w14:solidFill>
          </w14:textFill>
        </w:rPr>
        <w:t>。</w:t>
      </w:r>
      <w:bookmarkEnd w:id="13"/>
      <w:bookmarkEnd w:id="14"/>
    </w:p>
    <w:p w14:paraId="38054231">
      <w:pPr>
        <w:spacing w:line="360" w:lineRule="auto"/>
        <w:ind w:firstLine="420" w:firstLineChars="200"/>
        <w:rPr>
          <w:rFonts w:hint="eastAsia" w:cs="Times New Roman"/>
          <w:lang w:eastAsia="zh-CN"/>
        </w:rPr>
      </w:pPr>
      <w:r>
        <w:rPr>
          <w:rFonts w:hint="eastAsia"/>
          <w:color w:val="000000" w:themeColor="text1"/>
          <w:szCs w:val="21"/>
          <w14:textFill>
            <w14:solidFill>
              <w14:schemeClr w14:val="tx1"/>
            </w14:solidFill>
          </w14:textFill>
        </w:rPr>
        <w:t>本文件适用于</w:t>
      </w:r>
      <w:r>
        <w:rPr>
          <w:rFonts w:hint="default" w:ascii="Times New Roman" w:hAnsi="Times New Roman" w:cs="Times New Roman"/>
        </w:rPr>
        <w:t>采用锂渣进行</w:t>
      </w:r>
      <w:r>
        <w:rPr>
          <w:rFonts w:hint="default" w:ascii="Times New Roman" w:hAnsi="Times New Roman" w:cs="Times New Roman"/>
          <w:lang w:eastAsia="zh-CN"/>
        </w:rPr>
        <w:t>地表矿坑</w:t>
      </w:r>
      <w:r>
        <w:rPr>
          <w:rFonts w:hint="default" w:ascii="Times New Roman" w:hAnsi="Times New Roman" w:cs="Times New Roman"/>
        </w:rPr>
        <w:t>回填及后续生态</w:t>
      </w:r>
      <w:r>
        <w:rPr>
          <w:rFonts w:hint="eastAsia" w:cs="Times New Roman"/>
          <w:lang w:val="en-US" w:eastAsia="zh-CN"/>
        </w:rPr>
        <w:t>恢</w:t>
      </w:r>
      <w:r>
        <w:rPr>
          <w:rFonts w:hint="default" w:ascii="Times New Roman" w:hAnsi="Times New Roman" w:cs="Times New Roman"/>
        </w:rPr>
        <w:t>复</w:t>
      </w:r>
      <w:r>
        <w:rPr>
          <w:rFonts w:hint="eastAsia" w:cs="Times New Roman"/>
          <w:lang w:eastAsia="zh-CN"/>
        </w:rPr>
        <w:t>。</w:t>
      </w:r>
    </w:p>
    <w:p w14:paraId="5166D463">
      <w:pPr>
        <w:spacing w:line="360" w:lineRule="auto"/>
        <w:ind w:firstLine="420" w:firstLineChars="200"/>
        <w:rPr>
          <w:rFonts w:hint="eastAsia"/>
          <w:color w:val="000000" w:themeColor="text1"/>
          <w:szCs w:val="21"/>
          <w14:textFill>
            <w14:solidFill>
              <w14:schemeClr w14:val="tx1"/>
            </w14:solidFill>
          </w14:textFill>
        </w:rPr>
      </w:pPr>
      <w:r>
        <w:rPr>
          <w:rFonts w:hint="eastAsia" w:cs="Times New Roman"/>
          <w:lang w:val="en-US" w:eastAsia="zh-CN"/>
        </w:rPr>
        <w:t>本文件</w:t>
      </w:r>
      <w:r>
        <w:rPr>
          <w:rFonts w:hint="eastAsia"/>
          <w:color w:val="000000" w:themeColor="text1"/>
          <w:szCs w:val="21"/>
          <w14:textFill>
            <w14:solidFill>
              <w14:schemeClr w14:val="tx1"/>
            </w14:solidFill>
          </w14:textFill>
        </w:rPr>
        <w:t>不适用于</w:t>
      </w:r>
      <w:r>
        <w:rPr>
          <w:rFonts w:hint="eastAsia"/>
          <w:color w:val="000000" w:themeColor="text1"/>
          <w:szCs w:val="21"/>
          <w:lang w:val="en-US" w:eastAsia="zh-CN"/>
          <w14:textFill>
            <w14:solidFill>
              <w14:schemeClr w14:val="tx1"/>
            </w14:solidFill>
          </w14:textFill>
        </w:rPr>
        <w:t>铀钍及伴生</w:t>
      </w:r>
      <w:r>
        <w:rPr>
          <w:rFonts w:hint="eastAsia"/>
          <w:color w:val="000000" w:themeColor="text1"/>
          <w:szCs w:val="21"/>
          <w14:textFill>
            <w14:solidFill>
              <w14:schemeClr w14:val="tx1"/>
            </w14:solidFill>
          </w14:textFill>
        </w:rPr>
        <w:t>放射性矿坑</w:t>
      </w:r>
      <w:r>
        <w:rPr>
          <w:rFonts w:hint="eastAsia"/>
          <w:color w:val="000000" w:themeColor="text1"/>
          <w:szCs w:val="21"/>
          <w:lang w:val="en-US" w:eastAsia="zh-CN"/>
          <w14:textFill>
            <w14:solidFill>
              <w14:schemeClr w14:val="tx1"/>
            </w14:solidFill>
          </w14:textFill>
        </w:rPr>
        <w:t>的回填和生态修复</w:t>
      </w:r>
      <w:r>
        <w:rPr>
          <w:rFonts w:hint="eastAsia"/>
          <w:color w:val="000000" w:themeColor="text1"/>
          <w:szCs w:val="21"/>
          <w14:textFill>
            <w14:solidFill>
              <w14:schemeClr w14:val="tx1"/>
            </w14:solidFill>
          </w14:textFill>
        </w:rPr>
        <w:t>。</w:t>
      </w:r>
    </w:p>
    <w:p w14:paraId="72591E26">
      <w:pPr>
        <w:spacing w:before="0" w:line="720" w:lineRule="auto"/>
        <w:ind w:left="0"/>
        <w:outlineLvl w:val="0"/>
        <w:rPr>
          <w:rFonts w:ascii="黑体" w:hAnsi="黑体" w:eastAsia="黑体"/>
          <w:color w:val="000000" w:themeColor="text1"/>
          <w:lang w:eastAsia="zh-CN"/>
          <w14:textFill>
            <w14:solidFill>
              <w14:schemeClr w14:val="tx1"/>
            </w14:solidFill>
          </w14:textFill>
        </w:rPr>
      </w:pPr>
      <w:bookmarkStart w:id="15" w:name="_Toc21966"/>
      <w:bookmarkStart w:id="16" w:name="_Toc8918"/>
      <w:bookmarkStart w:id="17" w:name="_Toc23546"/>
      <w:r>
        <w:rPr>
          <w:rFonts w:ascii="黑体" w:hAnsi="黑体" w:eastAsia="黑体"/>
          <w:color w:val="000000" w:themeColor="text1"/>
          <w:lang w:eastAsia="zh-CN"/>
          <w14:textFill>
            <w14:solidFill>
              <w14:schemeClr w14:val="tx1"/>
            </w14:solidFill>
          </w14:textFill>
        </w:rPr>
        <w:t>2规范性引用文件</w:t>
      </w:r>
      <w:bookmarkEnd w:id="15"/>
      <w:bookmarkEnd w:id="16"/>
      <w:bookmarkEnd w:id="17"/>
    </w:p>
    <w:p w14:paraId="7AD90139">
      <w:pPr>
        <w:keepNext w:val="0"/>
        <w:keepLines w:val="0"/>
        <w:pageBreakBefore w:val="0"/>
        <w:widowControl w:val="0"/>
        <w:kinsoku/>
        <w:wordWrap/>
        <w:overflowPunct/>
        <w:topLinePunct w:val="0"/>
        <w:autoSpaceDE/>
        <w:autoSpaceDN/>
        <w:bidi w:val="0"/>
        <w:adjustRightInd/>
        <w:snapToGrid/>
        <w:spacing w:after="157" w:afterLines="50" w:line="240" w:lineRule="auto"/>
        <w:ind w:firstLine="420" w:firstLineChars="200"/>
        <w:textAlignment w:val="auto"/>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w:t>
      </w:r>
      <w:r>
        <w:rPr>
          <w:rFonts w:hint="eastAsia"/>
          <w:lang w:val="en-US" w:eastAsia="zh-CN"/>
        </w:rPr>
        <w:t>文件</w:t>
      </w:r>
      <w:r>
        <w:rPr>
          <w:rFonts w:hint="eastAsia"/>
        </w:rPr>
        <w:t>。</w:t>
      </w:r>
    </w:p>
    <w:p w14:paraId="1F295F2E">
      <w:pPr>
        <w:keepNext w:val="0"/>
        <w:keepLines w:val="0"/>
        <w:pageBreakBefore w:val="0"/>
        <w:widowControl w:val="0"/>
        <w:kinsoku/>
        <w:wordWrap/>
        <w:overflowPunct/>
        <w:topLinePunct w:val="0"/>
        <w:autoSpaceDE/>
        <w:autoSpaceDN/>
        <w:bidi w:val="0"/>
        <w:adjustRightInd w:val="0"/>
        <w:snapToGrid/>
        <w:spacing w:after="157" w:afterLines="50" w:line="240" w:lineRule="auto"/>
        <w:ind w:firstLine="420" w:firstLineChars="200"/>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GB 3838</w:t>
      </w:r>
      <w:r>
        <w:rPr>
          <w:rFonts w:hint="eastAsia" w:cs="Times New Roman"/>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地表水环境质量标准</w:t>
      </w:r>
    </w:p>
    <w:p w14:paraId="7893F0EC">
      <w:pPr>
        <w:keepNext w:val="0"/>
        <w:keepLines w:val="0"/>
        <w:pageBreakBefore w:val="0"/>
        <w:widowControl w:val="0"/>
        <w:kinsoku/>
        <w:wordWrap/>
        <w:overflowPunct/>
        <w:topLinePunct w:val="0"/>
        <w:autoSpaceDE/>
        <w:autoSpaceDN/>
        <w:bidi w:val="0"/>
        <w:adjustRightInd w:val="0"/>
        <w:snapToGrid/>
        <w:spacing w:after="157" w:afterLines="50" w:line="240" w:lineRule="auto"/>
        <w:ind w:firstLine="420" w:firstLineChars="200"/>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szCs w:val="21"/>
          <w:highlight w:val="none"/>
          <w:lang w:val="en-US" w:eastAsia="zh-CN"/>
        </w:rPr>
        <w:t>GB 5085.7</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 xml:space="preserve"> 危险废物鉴别标准通则</w:t>
      </w:r>
    </w:p>
    <w:p w14:paraId="6956B0E1">
      <w:pPr>
        <w:keepNext w:val="0"/>
        <w:keepLines w:val="0"/>
        <w:pageBreakBefore w:val="0"/>
        <w:widowControl w:val="0"/>
        <w:kinsoku/>
        <w:wordWrap/>
        <w:overflowPunct/>
        <w:topLinePunct w:val="0"/>
        <w:autoSpaceDE/>
        <w:autoSpaceDN/>
        <w:bidi w:val="0"/>
        <w:adjustRightInd w:val="0"/>
        <w:snapToGrid/>
        <w:spacing w:after="157" w:afterLines="50" w:line="240" w:lineRule="auto"/>
        <w:ind w:firstLine="420" w:firstLineChars="200"/>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GB 8978</w:t>
      </w:r>
      <w:r>
        <w:rPr>
          <w:rFonts w:hint="eastAsia" w:cs="Times New Roman"/>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污水综合排放标准</w:t>
      </w:r>
    </w:p>
    <w:p w14:paraId="1429E8BF">
      <w:pPr>
        <w:keepNext w:val="0"/>
        <w:keepLines w:val="0"/>
        <w:pageBreakBefore w:val="0"/>
        <w:widowControl w:val="0"/>
        <w:kinsoku/>
        <w:wordWrap/>
        <w:overflowPunct/>
        <w:topLinePunct w:val="0"/>
        <w:autoSpaceDE/>
        <w:autoSpaceDN/>
        <w:bidi w:val="0"/>
        <w:adjustRightInd w:val="0"/>
        <w:snapToGrid/>
        <w:spacing w:after="157" w:afterLines="50" w:line="240" w:lineRule="auto"/>
        <w:ind w:firstLine="420" w:firstLineChars="200"/>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GB 12523</w:t>
      </w:r>
      <w:r>
        <w:rPr>
          <w:rFonts w:hint="eastAsia" w:cs="Times New Roman"/>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建筑施工场界环境噪声排放标准</w:t>
      </w:r>
    </w:p>
    <w:p w14:paraId="518FA5CD">
      <w:pPr>
        <w:keepNext w:val="0"/>
        <w:keepLines w:val="0"/>
        <w:pageBreakBefore w:val="0"/>
        <w:widowControl w:val="0"/>
        <w:kinsoku/>
        <w:wordWrap/>
        <w:overflowPunct/>
        <w:topLinePunct w:val="0"/>
        <w:autoSpaceDE/>
        <w:autoSpaceDN/>
        <w:bidi w:val="0"/>
        <w:adjustRightInd w:val="0"/>
        <w:snapToGrid/>
        <w:spacing w:after="157" w:afterLines="50" w:line="240" w:lineRule="auto"/>
        <w:ind w:firstLine="420" w:firstLineChars="200"/>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GB/T 12719 矿区水文地质工程地质勘查规范</w:t>
      </w:r>
    </w:p>
    <w:p w14:paraId="66372B02">
      <w:pPr>
        <w:keepNext w:val="0"/>
        <w:keepLines w:val="0"/>
        <w:pageBreakBefore w:val="0"/>
        <w:widowControl w:val="0"/>
        <w:kinsoku/>
        <w:wordWrap/>
        <w:overflowPunct/>
        <w:topLinePunct w:val="0"/>
        <w:autoSpaceDE/>
        <w:autoSpaceDN/>
        <w:bidi w:val="0"/>
        <w:adjustRightInd w:val="0"/>
        <w:snapToGrid/>
        <w:spacing w:after="157" w:afterLines="50" w:line="240" w:lineRule="auto"/>
        <w:ind w:firstLine="420" w:firstLineChars="200"/>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GB/T 14848</w:t>
      </w:r>
      <w:r>
        <w:rPr>
          <w:rFonts w:hint="eastAsia" w:cs="Times New Roman"/>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地下水质量标准</w:t>
      </w:r>
    </w:p>
    <w:p w14:paraId="0BA885BD">
      <w:pPr>
        <w:keepNext w:val="0"/>
        <w:keepLines w:val="0"/>
        <w:pageBreakBefore w:val="0"/>
        <w:widowControl w:val="0"/>
        <w:kinsoku/>
        <w:wordWrap/>
        <w:overflowPunct/>
        <w:topLinePunct w:val="0"/>
        <w:autoSpaceDE/>
        <w:autoSpaceDN/>
        <w:bidi w:val="0"/>
        <w:adjustRightInd w:val="0"/>
        <w:snapToGrid/>
        <w:spacing w:after="157" w:afterLines="50" w:line="240" w:lineRule="auto"/>
        <w:ind w:firstLine="420" w:firstLineChars="200"/>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GB 15618</w:t>
      </w:r>
      <w:r>
        <w:rPr>
          <w:rFonts w:hint="eastAsia" w:cs="Times New Roman"/>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土壤环境质量农用地土壤污染风险管控标准</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试行</w:t>
      </w:r>
      <w:r>
        <w:rPr>
          <w:rFonts w:hint="eastAsia" w:cs="Times New Roman"/>
          <w:color w:val="000000" w:themeColor="text1"/>
          <w:sz w:val="21"/>
          <w:szCs w:val="21"/>
          <w:highlight w:val="none"/>
          <w:lang w:val="en-US" w:eastAsia="zh-CN"/>
          <w14:textFill>
            <w14:solidFill>
              <w14:schemeClr w14:val="tx1"/>
            </w14:solidFill>
          </w14:textFill>
        </w:rPr>
        <w:t>）</w:t>
      </w:r>
    </w:p>
    <w:p w14:paraId="3F3F3B14">
      <w:pPr>
        <w:keepNext w:val="0"/>
        <w:keepLines w:val="0"/>
        <w:pageBreakBefore w:val="0"/>
        <w:widowControl w:val="0"/>
        <w:kinsoku/>
        <w:wordWrap/>
        <w:overflowPunct/>
        <w:topLinePunct w:val="0"/>
        <w:autoSpaceDE/>
        <w:autoSpaceDN/>
        <w:bidi w:val="0"/>
        <w:adjustRightInd w:val="0"/>
        <w:snapToGrid/>
        <w:spacing w:after="157" w:afterLines="50" w:line="240" w:lineRule="auto"/>
        <w:ind w:firstLine="420" w:firstLineChars="200"/>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highlight w:val="none"/>
          <w:lang w:val="en-US" w:eastAsia="zh-CN"/>
        </w:rPr>
        <w:t>GB/T 15776 造林技术规程</w:t>
      </w:r>
    </w:p>
    <w:p w14:paraId="7264A255">
      <w:pPr>
        <w:keepNext w:val="0"/>
        <w:keepLines w:val="0"/>
        <w:pageBreakBefore w:val="0"/>
        <w:widowControl w:val="0"/>
        <w:kinsoku/>
        <w:wordWrap/>
        <w:overflowPunct/>
        <w:topLinePunct w:val="0"/>
        <w:autoSpaceDE/>
        <w:autoSpaceDN/>
        <w:bidi w:val="0"/>
        <w:adjustRightInd w:val="0"/>
        <w:snapToGrid/>
        <w:spacing w:after="157" w:afterLines="50" w:line="240" w:lineRule="auto"/>
        <w:ind w:firstLine="420" w:firstLineChars="200"/>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GB 16297</w:t>
      </w:r>
      <w:r>
        <w:rPr>
          <w:rFonts w:hint="eastAsia" w:cs="Times New Roman"/>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大气污染物综合排放标准</w:t>
      </w:r>
    </w:p>
    <w:p w14:paraId="623810A2">
      <w:pPr>
        <w:keepNext w:val="0"/>
        <w:keepLines w:val="0"/>
        <w:pageBreakBefore w:val="0"/>
        <w:widowControl w:val="0"/>
        <w:kinsoku/>
        <w:wordWrap/>
        <w:overflowPunct/>
        <w:topLinePunct w:val="0"/>
        <w:autoSpaceDE/>
        <w:autoSpaceDN/>
        <w:bidi w:val="0"/>
        <w:adjustRightInd w:val="0"/>
        <w:snapToGrid/>
        <w:spacing w:after="157" w:afterLines="50" w:line="240" w:lineRule="auto"/>
        <w:ind w:firstLine="420" w:firstLineChars="200"/>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GB 18599</w:t>
      </w:r>
      <w:r>
        <w:rPr>
          <w:rFonts w:hint="eastAsia" w:cs="Times New Roman"/>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一般工业固体废物贮存和填埋污染控制标准</w:t>
      </w:r>
    </w:p>
    <w:p w14:paraId="6E3B9006">
      <w:pPr>
        <w:keepNext w:val="0"/>
        <w:keepLines w:val="0"/>
        <w:pageBreakBefore w:val="0"/>
        <w:widowControl w:val="0"/>
        <w:kinsoku/>
        <w:wordWrap/>
        <w:overflowPunct/>
        <w:topLinePunct w:val="0"/>
        <w:autoSpaceDE/>
        <w:autoSpaceDN/>
        <w:bidi w:val="0"/>
        <w:adjustRightInd w:val="0"/>
        <w:snapToGrid/>
        <w:spacing w:after="157" w:afterLines="50" w:line="240" w:lineRule="auto"/>
        <w:ind w:firstLine="420" w:firstLineChars="200"/>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s="Times New Roman"/>
          <w:b w:val="0"/>
          <w:sz w:val="21"/>
          <w:szCs w:val="22"/>
          <w:highlight w:val="none"/>
          <w:lang w:val="en-US" w:eastAsia="zh-CN"/>
        </w:rPr>
        <w:t>GB/T 32740 自然生态系统土壤长期定位监测指南</w:t>
      </w:r>
    </w:p>
    <w:p w14:paraId="407C7AEB">
      <w:pPr>
        <w:keepNext w:val="0"/>
        <w:keepLines w:val="0"/>
        <w:pageBreakBefore w:val="0"/>
        <w:widowControl w:val="0"/>
        <w:kinsoku/>
        <w:wordWrap/>
        <w:overflowPunct/>
        <w:topLinePunct w:val="0"/>
        <w:autoSpaceDE/>
        <w:autoSpaceDN/>
        <w:bidi w:val="0"/>
        <w:adjustRightInd w:val="0"/>
        <w:snapToGrid/>
        <w:spacing w:after="157" w:afterLines="50" w:line="240" w:lineRule="auto"/>
        <w:ind w:firstLine="420" w:firstLineChars="200"/>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GB 36600</w:t>
      </w:r>
      <w:r>
        <w:rPr>
          <w:rFonts w:hint="eastAsia" w:cs="Times New Roman"/>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土壤环境质量建设用地土壤污染风险管控标准（试行）</w:t>
      </w:r>
    </w:p>
    <w:p w14:paraId="4A1445E3">
      <w:pPr>
        <w:keepNext w:val="0"/>
        <w:keepLines w:val="0"/>
        <w:pageBreakBefore w:val="0"/>
        <w:widowControl w:val="0"/>
        <w:kinsoku/>
        <w:wordWrap/>
        <w:overflowPunct/>
        <w:topLinePunct w:val="0"/>
        <w:autoSpaceDE/>
        <w:autoSpaceDN/>
        <w:bidi w:val="0"/>
        <w:adjustRightInd w:val="0"/>
        <w:snapToGrid/>
        <w:spacing w:after="157" w:afterLines="50" w:line="240" w:lineRule="auto"/>
        <w:ind w:firstLine="420" w:firstLineChars="200"/>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highlight w:val="none"/>
          <w:lang w:val="en-US" w:eastAsia="zh-CN"/>
        </w:rPr>
        <w:t>GB/T 38360 裸露坡面植被恢复技术规范</w:t>
      </w:r>
    </w:p>
    <w:p w14:paraId="6F9865E1">
      <w:pPr>
        <w:keepNext w:val="0"/>
        <w:keepLines w:val="0"/>
        <w:pageBreakBefore w:val="0"/>
        <w:widowControl w:val="0"/>
        <w:kinsoku/>
        <w:wordWrap/>
        <w:overflowPunct/>
        <w:topLinePunct w:val="0"/>
        <w:autoSpaceDE/>
        <w:autoSpaceDN/>
        <w:bidi w:val="0"/>
        <w:adjustRightInd w:val="0"/>
        <w:snapToGrid/>
        <w:spacing w:after="157" w:afterLines="50" w:line="240" w:lineRule="auto"/>
        <w:ind w:firstLine="420" w:firstLineChars="200"/>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GB</w:t>
      </w:r>
      <w:r>
        <w:rPr>
          <w:rFonts w:hint="eastAsia" w:cs="Times New Roman"/>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50330</w:t>
      </w:r>
      <w:r>
        <w:rPr>
          <w:rFonts w:hint="eastAsia" w:cs="Times New Roman"/>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建筑边坡工程技术规范</w:t>
      </w:r>
    </w:p>
    <w:p w14:paraId="4DD7795A">
      <w:pPr>
        <w:keepNext w:val="0"/>
        <w:keepLines w:val="0"/>
        <w:pageBreakBefore w:val="0"/>
        <w:widowControl w:val="0"/>
        <w:kinsoku/>
        <w:wordWrap/>
        <w:overflowPunct/>
        <w:topLinePunct w:val="0"/>
        <w:autoSpaceDE/>
        <w:autoSpaceDN/>
        <w:bidi w:val="0"/>
        <w:adjustRightInd w:val="0"/>
        <w:snapToGrid/>
        <w:spacing w:after="157" w:afterLines="50" w:line="240" w:lineRule="auto"/>
        <w:ind w:firstLine="420" w:firstLineChars="200"/>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SL</w:t>
      </w:r>
      <w:r>
        <w:rPr>
          <w:rFonts w:hint="eastAsia" w:cs="Times New Roman"/>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379</w:t>
      </w:r>
      <w:r>
        <w:rPr>
          <w:rFonts w:hint="eastAsia" w:cs="Times New Roman"/>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水工挡土墙设计规范</w:t>
      </w:r>
    </w:p>
    <w:p w14:paraId="3EF1B0B5">
      <w:pPr>
        <w:keepNext w:val="0"/>
        <w:keepLines w:val="0"/>
        <w:pageBreakBefore w:val="0"/>
        <w:widowControl w:val="0"/>
        <w:kinsoku/>
        <w:wordWrap/>
        <w:overflowPunct/>
        <w:topLinePunct w:val="0"/>
        <w:autoSpaceDE/>
        <w:autoSpaceDN/>
        <w:bidi w:val="0"/>
        <w:adjustRightInd w:val="0"/>
        <w:snapToGrid/>
        <w:spacing w:after="157" w:afterLines="50" w:line="240" w:lineRule="auto"/>
        <w:ind w:firstLine="420" w:firstLineChars="200"/>
        <w:textAlignment w:val="auto"/>
        <w:rPr>
          <w:rFonts w:hint="default" w:cs="Times New Roman"/>
          <w:color w:val="000000" w:themeColor="text1"/>
          <w:sz w:val="21"/>
          <w:szCs w:val="21"/>
          <w:highlight w:val="none"/>
          <w:lang w:val="en-US" w:eastAsia="zh-CN"/>
          <w14:textFill>
            <w14:solidFill>
              <w14:schemeClr w14:val="tx1"/>
            </w14:solidFill>
          </w14:textFill>
        </w:rPr>
      </w:pPr>
    </w:p>
    <w:p w14:paraId="7F1F76C7">
      <w:pPr>
        <w:keepNext w:val="0"/>
        <w:keepLines w:val="0"/>
        <w:pageBreakBefore w:val="0"/>
        <w:widowControl w:val="0"/>
        <w:kinsoku/>
        <w:wordWrap/>
        <w:overflowPunct/>
        <w:topLinePunct w:val="0"/>
        <w:autoSpaceDE/>
        <w:autoSpaceDN/>
        <w:bidi w:val="0"/>
        <w:adjustRightInd w:val="0"/>
        <w:snapToGrid/>
        <w:spacing w:after="157" w:afterLines="50" w:line="240" w:lineRule="auto"/>
        <w:ind w:firstLine="420" w:firstLineChars="200"/>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HJ 25.3</w:t>
      </w:r>
      <w:r>
        <w:rPr>
          <w:rFonts w:hint="eastAsia" w:cs="Times New Roman"/>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建设用地土壤污染风险评估技术导则</w:t>
      </w:r>
    </w:p>
    <w:p w14:paraId="44F0D167">
      <w:pPr>
        <w:keepNext w:val="0"/>
        <w:keepLines w:val="0"/>
        <w:pageBreakBefore w:val="0"/>
        <w:widowControl w:val="0"/>
        <w:kinsoku/>
        <w:wordWrap/>
        <w:overflowPunct/>
        <w:topLinePunct w:val="0"/>
        <w:autoSpaceDE/>
        <w:autoSpaceDN/>
        <w:bidi w:val="0"/>
        <w:adjustRightInd w:val="0"/>
        <w:snapToGrid/>
        <w:spacing w:after="157" w:afterLines="50" w:line="240" w:lineRule="auto"/>
        <w:ind w:firstLine="420" w:firstLineChars="200"/>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HJ</w:t>
      </w:r>
      <w:r>
        <w:rPr>
          <w:rFonts w:hint="eastAsia" w:cs="Times New Roman"/>
          <w:b w:val="0"/>
          <w:sz w:val="21"/>
          <w:szCs w:val="22"/>
          <w:highlight w:val="none"/>
          <w:lang w:val="en-US" w:eastAsia="zh-CN"/>
        </w:rPr>
        <w:t>/T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 xml:space="preserve"> 91</w:t>
      </w:r>
      <w:r>
        <w:rPr>
          <w:rFonts w:hint="eastAsia" w:cs="Times New Roman"/>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地表水和污水监测技术规范</w:t>
      </w:r>
    </w:p>
    <w:p w14:paraId="4EC1E63B">
      <w:pPr>
        <w:keepNext w:val="0"/>
        <w:keepLines w:val="0"/>
        <w:pageBreakBefore w:val="0"/>
        <w:widowControl w:val="0"/>
        <w:kinsoku/>
        <w:wordWrap/>
        <w:overflowPunct/>
        <w:topLinePunct w:val="0"/>
        <w:autoSpaceDE/>
        <w:autoSpaceDN/>
        <w:bidi w:val="0"/>
        <w:adjustRightInd w:val="0"/>
        <w:snapToGrid/>
        <w:spacing w:after="157" w:afterLines="50" w:line="240" w:lineRule="auto"/>
        <w:ind w:firstLine="420" w:firstLineChars="200"/>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HJ 164</w:t>
      </w:r>
      <w:r>
        <w:rPr>
          <w:rFonts w:hint="eastAsia" w:cs="Times New Roman"/>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地下水环境监测技术规范</w:t>
      </w:r>
    </w:p>
    <w:p w14:paraId="142DB844">
      <w:pPr>
        <w:keepNext w:val="0"/>
        <w:keepLines w:val="0"/>
        <w:pageBreakBefore w:val="0"/>
        <w:widowControl w:val="0"/>
        <w:kinsoku/>
        <w:wordWrap/>
        <w:overflowPunct/>
        <w:topLinePunct w:val="0"/>
        <w:autoSpaceDE/>
        <w:autoSpaceDN/>
        <w:bidi w:val="0"/>
        <w:adjustRightInd w:val="0"/>
        <w:snapToGrid/>
        <w:spacing w:after="157" w:afterLines="50" w:line="240" w:lineRule="auto"/>
        <w:ind w:firstLine="420" w:firstLineChars="200"/>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s="Times New Roman"/>
          <w:b w:val="0"/>
          <w:sz w:val="21"/>
          <w:szCs w:val="22"/>
          <w:highlight w:val="none"/>
          <w:lang w:val="en-US" w:eastAsia="zh-CN"/>
        </w:rPr>
        <w:t>HJ/T 166 土壤环境监测技术规范</w:t>
      </w:r>
    </w:p>
    <w:p w14:paraId="5A08715E">
      <w:pPr>
        <w:keepNext w:val="0"/>
        <w:keepLines w:val="0"/>
        <w:pageBreakBefore w:val="0"/>
        <w:widowControl w:val="0"/>
        <w:kinsoku/>
        <w:wordWrap/>
        <w:overflowPunct/>
        <w:topLinePunct w:val="0"/>
        <w:autoSpaceDE/>
        <w:autoSpaceDN/>
        <w:bidi w:val="0"/>
        <w:adjustRightInd w:val="0"/>
        <w:snapToGrid/>
        <w:spacing w:after="157" w:afterLines="50" w:line="240" w:lineRule="auto"/>
        <w:ind w:firstLine="420" w:firstLineChars="200"/>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HJ 557 固体废物浸出毒性浸出方法 水平振荡法</w:t>
      </w:r>
    </w:p>
    <w:p w14:paraId="4ED3DF0F">
      <w:pPr>
        <w:keepNext w:val="0"/>
        <w:keepLines w:val="0"/>
        <w:pageBreakBefore w:val="0"/>
        <w:widowControl w:val="0"/>
        <w:kinsoku/>
        <w:wordWrap/>
        <w:overflowPunct/>
        <w:topLinePunct w:val="0"/>
        <w:autoSpaceDE/>
        <w:autoSpaceDN/>
        <w:bidi w:val="0"/>
        <w:adjustRightInd w:val="0"/>
        <w:snapToGrid/>
        <w:spacing w:after="157" w:afterLines="50" w:line="240" w:lineRule="auto"/>
        <w:ind w:firstLine="420" w:firstLineChars="200"/>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HJ 610</w:t>
      </w:r>
      <w:r>
        <w:rPr>
          <w:rFonts w:hint="eastAsia" w:cs="Times New Roman"/>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环境影响评价技术导则</w:t>
      </w:r>
      <w:r>
        <w:rPr>
          <w:rFonts w:hint="eastAsia" w:cs="Times New Roman"/>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地下水环境</w:t>
      </w:r>
    </w:p>
    <w:p w14:paraId="0A1AD7C6">
      <w:pPr>
        <w:keepNext w:val="0"/>
        <w:keepLines w:val="0"/>
        <w:pageBreakBefore w:val="0"/>
        <w:widowControl w:val="0"/>
        <w:kinsoku/>
        <w:wordWrap/>
        <w:overflowPunct/>
        <w:topLinePunct w:val="0"/>
        <w:autoSpaceDE/>
        <w:autoSpaceDN/>
        <w:bidi w:val="0"/>
        <w:adjustRightInd w:val="0"/>
        <w:snapToGrid/>
        <w:spacing w:after="157" w:afterLines="50" w:line="240" w:lineRule="auto"/>
        <w:ind w:firstLine="420" w:firstLineChars="200"/>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HJ 737 土壤和沉积物 铍的测定 石墨炉原子吸收分光光度法</w:t>
      </w:r>
    </w:p>
    <w:p w14:paraId="0EBC8D24">
      <w:pPr>
        <w:keepNext w:val="0"/>
        <w:keepLines w:val="0"/>
        <w:pageBreakBefore w:val="0"/>
        <w:widowControl w:val="0"/>
        <w:kinsoku/>
        <w:wordWrap/>
        <w:overflowPunct/>
        <w:topLinePunct w:val="0"/>
        <w:autoSpaceDE/>
        <w:autoSpaceDN/>
        <w:bidi w:val="0"/>
        <w:adjustRightInd w:val="0"/>
        <w:snapToGrid/>
        <w:spacing w:after="157" w:afterLines="50" w:line="240" w:lineRule="auto"/>
        <w:ind w:firstLine="420" w:firstLineChars="200"/>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HJ 1080 土壤和沉积物 铊的测定 石墨炉原子吸收分光光度法</w:t>
      </w:r>
    </w:p>
    <w:p w14:paraId="23B36882">
      <w:pPr>
        <w:keepNext w:val="0"/>
        <w:keepLines w:val="0"/>
        <w:pageBreakBefore w:val="0"/>
        <w:widowControl w:val="0"/>
        <w:kinsoku/>
        <w:wordWrap/>
        <w:overflowPunct/>
        <w:topLinePunct w:val="0"/>
        <w:autoSpaceDE/>
        <w:autoSpaceDN/>
        <w:bidi w:val="0"/>
        <w:adjustRightInd w:val="0"/>
        <w:snapToGrid/>
        <w:spacing w:after="157" w:afterLines="50" w:line="240" w:lineRule="auto"/>
        <w:ind w:firstLine="420" w:firstLineChars="200"/>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HJ 1172</w:t>
      </w:r>
      <w:r>
        <w:rPr>
          <w:rFonts w:hint="eastAsia" w:cs="Times New Roman"/>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全国生态状况调查评估技术规范 —生态系统质量评估</w:t>
      </w:r>
    </w:p>
    <w:p w14:paraId="692DF3BE">
      <w:pPr>
        <w:keepNext w:val="0"/>
        <w:keepLines w:val="0"/>
        <w:pageBreakBefore w:val="0"/>
        <w:widowControl w:val="0"/>
        <w:kinsoku/>
        <w:wordWrap/>
        <w:overflowPunct/>
        <w:topLinePunct w:val="0"/>
        <w:autoSpaceDE/>
        <w:autoSpaceDN/>
        <w:bidi w:val="0"/>
        <w:adjustRightInd w:val="0"/>
        <w:snapToGrid/>
        <w:spacing w:after="157" w:afterLines="50" w:line="240" w:lineRule="auto"/>
        <w:ind w:firstLine="420" w:firstLineChars="200"/>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HJ 1315</w:t>
      </w:r>
      <w:r>
        <w:rPr>
          <w:rFonts w:hint="eastAsia" w:cs="Times New Roman"/>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土壤和沉积物 19种金属元素总量的测定 电感耦合等离子体质谱法</w:t>
      </w:r>
    </w:p>
    <w:p w14:paraId="5705EA5B">
      <w:pPr>
        <w:keepNext w:val="0"/>
        <w:keepLines w:val="0"/>
        <w:pageBreakBefore w:val="0"/>
        <w:widowControl w:val="0"/>
        <w:kinsoku/>
        <w:wordWrap/>
        <w:overflowPunct/>
        <w:topLinePunct w:val="0"/>
        <w:autoSpaceDE/>
        <w:autoSpaceDN/>
        <w:bidi w:val="0"/>
        <w:adjustRightInd w:val="0"/>
        <w:snapToGrid/>
        <w:spacing w:after="157" w:afterLines="50" w:line="240" w:lineRule="auto"/>
        <w:ind w:firstLine="420" w:firstLineChars="200"/>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TD/T 1036 土壤复垦质量控制标准</w:t>
      </w:r>
    </w:p>
    <w:p w14:paraId="72F517BB">
      <w:pPr>
        <w:keepNext w:val="0"/>
        <w:keepLines w:val="0"/>
        <w:pageBreakBefore w:val="0"/>
        <w:widowControl w:val="0"/>
        <w:kinsoku/>
        <w:wordWrap/>
        <w:overflowPunct/>
        <w:topLinePunct w:val="0"/>
        <w:autoSpaceDE/>
        <w:autoSpaceDN/>
        <w:bidi w:val="0"/>
        <w:adjustRightInd w:val="0"/>
        <w:snapToGrid/>
        <w:spacing w:after="157" w:afterLines="50" w:line="240" w:lineRule="auto"/>
        <w:ind w:firstLine="420" w:firstLineChars="200"/>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highlight w:val="none"/>
          <w:lang w:val="en-US" w:eastAsia="zh-CN"/>
        </w:rPr>
        <w:t>NY/T 1342 人工草地建设技术规程</w:t>
      </w:r>
    </w:p>
    <w:p w14:paraId="39B6A525">
      <w:pPr>
        <w:keepNext w:val="0"/>
        <w:keepLines w:val="0"/>
        <w:pageBreakBefore w:val="0"/>
        <w:widowControl w:val="0"/>
        <w:kinsoku/>
        <w:wordWrap/>
        <w:overflowPunct/>
        <w:topLinePunct w:val="0"/>
        <w:autoSpaceDE/>
        <w:autoSpaceDN/>
        <w:bidi w:val="0"/>
        <w:adjustRightInd w:val="0"/>
        <w:snapToGrid/>
        <w:spacing w:after="157" w:afterLines="50" w:line="240" w:lineRule="auto"/>
        <w:ind w:firstLine="420" w:firstLineChars="200"/>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DB15/T 2763</w:t>
      </w:r>
      <w:r>
        <w:rPr>
          <w:rFonts w:hint="eastAsia" w:cs="Times New Roman"/>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一般工业固体废物用于矿山采坑回填和生态恢复技术规范</w:t>
      </w:r>
    </w:p>
    <w:p w14:paraId="7D58FDB1">
      <w:pPr>
        <w:keepNext w:val="0"/>
        <w:keepLines w:val="0"/>
        <w:pageBreakBefore w:val="0"/>
        <w:widowControl w:val="0"/>
        <w:kinsoku/>
        <w:wordWrap/>
        <w:overflowPunct/>
        <w:topLinePunct w:val="0"/>
        <w:autoSpaceDE/>
        <w:autoSpaceDN/>
        <w:bidi w:val="0"/>
        <w:adjustRightInd w:val="0"/>
        <w:snapToGrid/>
        <w:spacing w:after="157" w:afterLines="50" w:line="240" w:lineRule="auto"/>
        <w:ind w:firstLine="420" w:firstLineChars="200"/>
        <w:textAlignment w:val="auto"/>
        <w:rPr>
          <w:rFonts w:hint="eastAsia"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DB</w:t>
      </w:r>
      <w:r>
        <w:rPr>
          <w:rFonts w:hint="eastAsia" w:cs="Times New Roman"/>
          <w:color w:val="000000" w:themeColor="text1"/>
          <w:sz w:val="21"/>
          <w:szCs w:val="21"/>
          <w:highlight w:val="none"/>
          <w:lang w:val="en-US" w:eastAsia="zh-CN"/>
          <w14:textFill>
            <w14:solidFill>
              <w14:schemeClr w14:val="tx1"/>
            </w14:solidFill>
          </w14:textFill>
        </w:rPr>
        <w:t>53</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 xml:space="preserve">/T </w:t>
      </w:r>
      <w:r>
        <w:rPr>
          <w:rFonts w:hint="eastAsia" w:cs="Times New Roman"/>
          <w:color w:val="000000" w:themeColor="text1"/>
          <w:sz w:val="21"/>
          <w:szCs w:val="21"/>
          <w:highlight w:val="none"/>
          <w:lang w:val="en-US" w:eastAsia="zh-CN"/>
          <w14:textFill>
            <w14:solidFill>
              <w14:schemeClr w14:val="tx1"/>
            </w14:solidFill>
          </w14:textFill>
        </w:rPr>
        <w:t>1269 改性磷石膏用于矿山废弃地生态修复回填技术规范</w:t>
      </w:r>
    </w:p>
    <w:p w14:paraId="2961777F">
      <w:pPr>
        <w:spacing w:before="0" w:line="720" w:lineRule="auto"/>
        <w:ind w:left="0"/>
        <w:outlineLvl w:val="0"/>
        <w:rPr>
          <w:rFonts w:ascii="黑体" w:hAnsi="黑体" w:eastAsia="黑体"/>
          <w:color w:val="000000" w:themeColor="text1"/>
          <w:lang w:eastAsia="zh-CN"/>
          <w14:textFill>
            <w14:solidFill>
              <w14:schemeClr w14:val="tx1"/>
            </w14:solidFill>
          </w14:textFill>
        </w:rPr>
      </w:pPr>
      <w:bookmarkStart w:id="18" w:name="_Toc7973"/>
      <w:bookmarkStart w:id="19" w:name="_Toc31099"/>
      <w:bookmarkStart w:id="20" w:name="_Toc23280"/>
      <w:bookmarkStart w:id="21" w:name="_Toc395187805"/>
      <w:r>
        <w:rPr>
          <w:rFonts w:ascii="黑体" w:hAnsi="黑体" w:eastAsia="黑体"/>
          <w:color w:val="000000" w:themeColor="text1"/>
          <w:lang w:eastAsia="zh-CN"/>
          <w14:textFill>
            <w14:solidFill>
              <w14:schemeClr w14:val="tx1"/>
            </w14:solidFill>
          </w14:textFill>
        </w:rPr>
        <w:t>3术语和定义</w:t>
      </w:r>
      <w:bookmarkEnd w:id="18"/>
      <w:bookmarkEnd w:id="19"/>
      <w:bookmarkEnd w:id="20"/>
      <w:bookmarkEnd w:id="21"/>
    </w:p>
    <w:p w14:paraId="6E2BC927">
      <w:pPr>
        <w:spacing w:before="0" w:line="360" w:lineRule="auto"/>
        <w:ind w:left="0" w:firstLine="420" w:firstLineChars="200"/>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下列术语和定义适用于本文件。</w:t>
      </w:r>
    </w:p>
    <w:p w14:paraId="74EE3DDD">
      <w:pPr>
        <w:spacing w:before="0" w:after="0" w:line="480" w:lineRule="auto"/>
        <w:rPr>
          <w:color w:val="000000" w:themeColor="text1"/>
          <w:szCs w:val="21"/>
          <w14:textFill>
            <w14:solidFill>
              <w14:schemeClr w14:val="tx1"/>
            </w14:solidFill>
          </w14:textFill>
        </w:rPr>
      </w:pPr>
      <w:bookmarkStart w:id="22" w:name="_Toc435177494"/>
      <w:bookmarkStart w:id="23" w:name="_Toc481504299"/>
      <w:bookmarkStart w:id="24" w:name="_Toc435177690"/>
      <w:bookmarkStart w:id="25" w:name="_Toc23252664"/>
      <w:bookmarkStart w:id="26" w:name="_Toc511393149"/>
      <w:r>
        <w:rPr>
          <w:rFonts w:ascii="黑体" w:hAnsi="黑体" w:eastAsia="黑体"/>
          <w:b w:val="0"/>
          <w:color w:val="000000" w:themeColor="text1"/>
          <w:sz w:val="21"/>
          <w:szCs w:val="21"/>
          <w14:textFill>
            <w14:solidFill>
              <w14:schemeClr w14:val="tx1"/>
            </w14:solidFill>
          </w14:textFill>
        </w:rPr>
        <w:t>3.1</w:t>
      </w:r>
      <w:r>
        <w:rPr>
          <w:rFonts w:hint="eastAsia" w:ascii="黑体" w:hAnsi="黑体" w:eastAsia="黑体"/>
          <w:b w:val="0"/>
          <w:color w:val="000000" w:themeColor="text1"/>
          <w:sz w:val="21"/>
          <w:szCs w:val="21"/>
          <w14:textFill>
            <w14:solidFill>
              <w14:schemeClr w14:val="tx1"/>
            </w14:solidFill>
          </w14:textFill>
        </w:rPr>
        <w:t>　</w:t>
      </w:r>
      <w:bookmarkEnd w:id="22"/>
      <w:bookmarkEnd w:id="23"/>
      <w:bookmarkEnd w:id="24"/>
      <w:bookmarkEnd w:id="25"/>
      <w:bookmarkEnd w:id="26"/>
    </w:p>
    <w:p w14:paraId="5C9830ED">
      <w:pPr>
        <w:spacing w:line="360" w:lineRule="auto"/>
        <w:ind w:firstLine="420" w:firstLineChars="200"/>
        <w:rPr>
          <w:i/>
          <w:iCs/>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锂渣</w:t>
      </w:r>
      <w:r>
        <w:rPr>
          <w:rFonts w:hint="eastAsia"/>
          <w:color w:val="000000" w:themeColor="text1"/>
          <w:szCs w:val="21"/>
          <w:lang w:val="en-US" w:eastAsia="zh-CN"/>
          <w14:textFill>
            <w14:solidFill>
              <w14:schemeClr w14:val="tx1"/>
            </w14:solidFill>
          </w14:textFill>
        </w:rPr>
        <w:t xml:space="preserve"> lithium slag</w:t>
      </w:r>
    </w:p>
    <w:p w14:paraId="675543A3">
      <w:pPr>
        <w:spacing w:line="360" w:lineRule="auto"/>
        <w:ind w:firstLine="420" w:firstLineChars="200"/>
        <w:rPr>
          <w:rFonts w:hint="default" w:ascii="Times New Roman" w:hAnsi="Times New Roman" w:cs="Times New Roman"/>
        </w:rPr>
      </w:pPr>
      <w:r>
        <w:rPr>
          <w:rFonts w:hint="default" w:ascii="Times New Roman" w:hAnsi="Times New Roman" w:cs="Times New Roman"/>
        </w:rPr>
        <w:t>以锂云母、锂辉石等为主要原料，火法、湿法冶炼生产碳酸锂、氢氧化锂等锂产品过程，在焙烧熟料浸出工序产生的浸出渣，主要成份为SiO</w:t>
      </w:r>
      <w:r>
        <w:rPr>
          <w:rFonts w:hint="default" w:ascii="Times New Roman" w:hAnsi="Times New Roman" w:cs="Times New Roman"/>
          <w:vertAlign w:val="subscript"/>
        </w:rPr>
        <w:t>2</w:t>
      </w:r>
      <w:r>
        <w:rPr>
          <w:rFonts w:hint="default" w:ascii="Times New Roman" w:hAnsi="Times New Roman" w:cs="Times New Roman"/>
        </w:rPr>
        <w:t>、Al</w:t>
      </w:r>
      <w:r>
        <w:rPr>
          <w:rFonts w:hint="default" w:ascii="Times New Roman" w:hAnsi="Times New Roman" w:cs="Times New Roman"/>
          <w:vertAlign w:val="subscript"/>
        </w:rPr>
        <w:t>2</w:t>
      </w:r>
      <w:r>
        <w:rPr>
          <w:rFonts w:hint="default" w:ascii="Times New Roman" w:hAnsi="Times New Roman" w:cs="Times New Roman"/>
        </w:rPr>
        <w:t>O</w:t>
      </w:r>
      <w:r>
        <w:rPr>
          <w:rFonts w:hint="default" w:ascii="Times New Roman" w:hAnsi="Times New Roman" w:cs="Times New Roman"/>
          <w:vertAlign w:val="subscript"/>
        </w:rPr>
        <w:t>3</w:t>
      </w:r>
      <w:r>
        <w:rPr>
          <w:rFonts w:hint="default" w:ascii="Times New Roman" w:hAnsi="Times New Roman" w:cs="Times New Roman"/>
        </w:rPr>
        <w:t>、Fe及其它微量金属基化合物，简称锂渣。</w:t>
      </w:r>
    </w:p>
    <w:p w14:paraId="6F5E420D">
      <w:pPr>
        <w:spacing w:before="0" w:after="0" w:line="480" w:lineRule="auto"/>
        <w:rPr>
          <w:rFonts w:hint="eastAsia" w:ascii="黑体" w:hAnsi="黑体" w:eastAsia="黑体" w:cs="Times New Roman"/>
          <w:b w:val="0"/>
          <w:color w:val="000000" w:themeColor="text1"/>
          <w:sz w:val="21"/>
          <w:szCs w:val="21"/>
          <w:lang w:val="en-US" w:eastAsia="zh-CN"/>
          <w14:textFill>
            <w14:solidFill>
              <w14:schemeClr w14:val="tx1"/>
            </w14:solidFill>
          </w14:textFill>
        </w:rPr>
      </w:pPr>
      <w:r>
        <w:rPr>
          <w:rFonts w:hint="eastAsia" w:ascii="黑体" w:hAnsi="黑体" w:eastAsia="黑体" w:cs="Times New Roman"/>
          <w:b w:val="0"/>
          <w:color w:val="000000" w:themeColor="text1"/>
          <w:sz w:val="21"/>
          <w:szCs w:val="21"/>
          <w:lang w:val="en-US" w:eastAsia="zh-CN"/>
          <w14:textFill>
            <w14:solidFill>
              <w14:schemeClr w14:val="tx1"/>
            </w14:solidFill>
          </w14:textFill>
        </w:rPr>
        <w:t>3.2</w:t>
      </w:r>
    </w:p>
    <w:p w14:paraId="03FE4DC9">
      <w:pPr>
        <w:spacing w:line="360" w:lineRule="auto"/>
        <w:ind w:firstLine="420" w:firstLineChars="200"/>
        <w:rPr>
          <w:rFonts w:hint="eastAsia" w:ascii="黑体" w:hAnsi="黑体" w:eastAsia="黑体" w:cs="Times New Roman"/>
          <w:b w:val="0"/>
          <w:color w:val="000000" w:themeColor="text1"/>
          <w:sz w:val="21"/>
          <w:szCs w:val="21"/>
          <w:lang w:val="en-US" w:eastAsia="zh-CN"/>
          <w14:textFill>
            <w14:solidFill>
              <w14:schemeClr w14:val="tx1"/>
            </w14:solidFill>
          </w14:textFill>
        </w:rPr>
      </w:pPr>
      <w:r>
        <w:rPr>
          <w:rFonts w:hint="eastAsia"/>
          <w:color w:val="000000" w:themeColor="text1"/>
          <w:szCs w:val="21"/>
          <w14:textFill>
            <w14:solidFill>
              <w14:schemeClr w14:val="tx1"/>
            </w14:solidFill>
          </w14:textFill>
        </w:rPr>
        <w:t>锂渣</w:t>
      </w:r>
      <w:r>
        <w:rPr>
          <w:rFonts w:hint="eastAsia"/>
          <w:color w:val="000000" w:themeColor="text1"/>
          <w:szCs w:val="21"/>
          <w:lang w:val="en-US" w:eastAsia="zh-CN"/>
          <w14:textFill>
            <w14:solidFill>
              <w14:schemeClr w14:val="tx1"/>
            </w14:solidFill>
          </w14:textFill>
        </w:rPr>
        <w:t>改性 lithium slag modification</w:t>
      </w:r>
    </w:p>
    <w:p w14:paraId="79EF4476">
      <w:pPr>
        <w:spacing w:line="360" w:lineRule="auto"/>
        <w:ind w:firstLine="420" w:firstLineChars="200"/>
        <w:rPr>
          <w:rFonts w:hint="default" w:ascii="黑体" w:hAnsi="黑体" w:eastAsia="黑体" w:cs="Times New Roman"/>
          <w:b w:val="0"/>
          <w:color w:val="000000" w:themeColor="text1"/>
          <w:sz w:val="21"/>
          <w:szCs w:val="21"/>
          <w:lang w:val="en-US" w:eastAsia="zh-CN"/>
          <w14:textFill>
            <w14:solidFill>
              <w14:schemeClr w14:val="tx1"/>
            </w14:solidFill>
          </w14:textFill>
        </w:rPr>
      </w:pPr>
      <w:r>
        <w:rPr>
          <w:rFonts w:hint="eastAsia" w:ascii="Times New Roman" w:hAnsi="Times New Roman" w:cs="Times New Roman"/>
          <w:lang w:val="en-US" w:eastAsia="zh-CN"/>
        </w:rPr>
        <w:t>将锂渣与其他辅助材料（如粉煤灰、矿渣、激发剂等）按特定比例混合，通过物理或化学手段优化其性能，使其满足工程应用需求</w:t>
      </w:r>
      <w:r>
        <w:rPr>
          <w:rFonts w:hint="eastAsia" w:cs="Times New Roman"/>
          <w:lang w:val="en-US" w:eastAsia="zh-CN"/>
        </w:rPr>
        <w:t>。</w:t>
      </w:r>
    </w:p>
    <w:p w14:paraId="5EC810B5">
      <w:pPr>
        <w:spacing w:before="0" w:after="0" w:line="480" w:lineRule="auto"/>
        <w:rPr>
          <w:rFonts w:hint="eastAsia" w:ascii="黑体" w:hAnsi="黑体" w:eastAsia="黑体" w:cs="Times New Roman"/>
          <w:b w:val="0"/>
          <w:color w:val="000000" w:themeColor="text1"/>
          <w:sz w:val="21"/>
          <w:szCs w:val="21"/>
          <w:lang w:val="en-US" w:eastAsia="zh-CN"/>
          <w14:textFill>
            <w14:solidFill>
              <w14:schemeClr w14:val="tx1"/>
            </w14:solidFill>
          </w14:textFill>
        </w:rPr>
      </w:pPr>
      <w:r>
        <w:rPr>
          <w:rFonts w:hint="eastAsia" w:ascii="黑体" w:hAnsi="黑体" w:eastAsia="黑体" w:cs="Times New Roman"/>
          <w:b w:val="0"/>
          <w:color w:val="000000" w:themeColor="text1"/>
          <w:sz w:val="21"/>
          <w:szCs w:val="21"/>
          <w:lang w:val="en-US" w:eastAsia="zh-CN"/>
          <w14:textFill>
            <w14:solidFill>
              <w14:schemeClr w14:val="tx1"/>
            </w14:solidFill>
          </w14:textFill>
        </w:rPr>
        <w:t>3.3</w:t>
      </w:r>
    </w:p>
    <w:p w14:paraId="2CF6EFBE">
      <w:pPr>
        <w:spacing w:line="360" w:lineRule="auto"/>
        <w:ind w:firstLine="420" w:firstLineChars="200"/>
        <w:rPr>
          <w:rFonts w:hint="eastAsia" w:cs="Times New Roman"/>
          <w:lang w:val="en-US" w:eastAsia="zh-CN"/>
        </w:rPr>
      </w:pPr>
      <w:r>
        <w:rPr>
          <w:rFonts w:hint="eastAsia" w:cs="Times New Roman"/>
          <w:lang w:val="en-US" w:eastAsia="zh-CN"/>
        </w:rPr>
        <w:t>地表矿坑 surface mine pit</w:t>
      </w:r>
    </w:p>
    <w:p w14:paraId="186C9262">
      <w:pPr>
        <w:spacing w:line="360" w:lineRule="auto"/>
        <w:ind w:firstLine="420" w:firstLineChars="200"/>
        <w:rPr>
          <w:rFonts w:hint="default" w:cs="Times New Roman"/>
          <w:lang w:val="en-US" w:eastAsia="zh-CN"/>
        </w:rPr>
      </w:pPr>
      <w:r>
        <w:rPr>
          <w:rFonts w:hint="eastAsia" w:cs="Times New Roman"/>
          <w:lang w:val="en-US" w:eastAsia="zh-CN"/>
        </w:rPr>
        <w:t>由于采矿活动引起地表在一定范围内高程降低形成的的露天坑洞或坑道。</w:t>
      </w:r>
    </w:p>
    <w:p w14:paraId="32A99F46">
      <w:pPr>
        <w:spacing w:before="0" w:after="0" w:line="480" w:lineRule="auto"/>
        <w:rPr>
          <w:rFonts w:hint="default" w:ascii="黑体" w:hAnsi="黑体" w:eastAsia="黑体" w:cs="Times New Roman"/>
          <w:b w:val="0"/>
          <w:color w:val="000000" w:themeColor="text1"/>
          <w:sz w:val="21"/>
          <w:szCs w:val="21"/>
          <w:lang w:val="en-US" w:eastAsia="zh-CN"/>
          <w14:textFill>
            <w14:solidFill>
              <w14:schemeClr w14:val="tx1"/>
            </w14:solidFill>
          </w14:textFill>
        </w:rPr>
      </w:pPr>
      <w:r>
        <w:rPr>
          <w:rFonts w:hint="eastAsia" w:ascii="黑体" w:hAnsi="黑体" w:eastAsia="黑体" w:cs="Times New Roman"/>
          <w:b w:val="0"/>
          <w:color w:val="000000" w:themeColor="text1"/>
          <w:sz w:val="21"/>
          <w:szCs w:val="21"/>
          <w:lang w:val="en-US" w:eastAsia="zh-CN"/>
          <w14:textFill>
            <w14:solidFill>
              <w14:schemeClr w14:val="tx1"/>
            </w14:solidFill>
          </w14:textFill>
        </w:rPr>
        <w:t>3.4</w:t>
      </w:r>
    </w:p>
    <w:p w14:paraId="79D10E38">
      <w:pPr>
        <w:spacing w:line="360" w:lineRule="auto"/>
        <w:ind w:firstLine="420" w:firstLineChars="200"/>
        <w:rPr>
          <w:rFonts w:hint="default" w:ascii="Times New Roman" w:hAnsi="Times New Roman" w:cs="Times New Roman"/>
          <w:lang w:val="en-US" w:eastAsia="zh-CN"/>
        </w:rPr>
      </w:pPr>
      <w:r>
        <w:rPr>
          <w:rFonts w:hint="default" w:ascii="Times New Roman" w:hAnsi="Times New Roman" w:cs="Times New Roman"/>
          <w:lang w:val="en-US" w:eastAsia="zh-CN"/>
        </w:rPr>
        <w:t>回填</w:t>
      </w:r>
      <w:r>
        <w:rPr>
          <w:rFonts w:hint="eastAsia" w:cs="Times New Roman"/>
          <w:lang w:val="en-US" w:eastAsia="zh-CN"/>
        </w:rPr>
        <w:t xml:space="preserve"> </w:t>
      </w:r>
      <w:r>
        <w:rPr>
          <w:rFonts w:hint="default" w:ascii="Times New Roman" w:hAnsi="Times New Roman" w:cs="Times New Roman"/>
          <w:lang w:val="en-US" w:eastAsia="zh-CN"/>
        </w:rPr>
        <w:t>backfilling</w:t>
      </w:r>
    </w:p>
    <w:p w14:paraId="3FCCC586">
      <w:pPr>
        <w:spacing w:line="360" w:lineRule="auto"/>
        <w:ind w:firstLine="420" w:firstLineChars="200"/>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rPr>
        <w:t>在复垦、景观恢复、建设用地平整、农业用地平整以及防止地表塌陷的地貌保护等工程中，以土地复垦为目的，利用属于一般工业固体废物的锂渣替代土、砂、石等生产材料填充地下采空空间、露 天开采地表挖掘区、取土场、地下开采塌陷区以及天然坑洼区的活动。</w:t>
      </w:r>
    </w:p>
    <w:p w14:paraId="00BD6334">
      <w:pPr>
        <w:spacing w:line="360" w:lineRule="auto"/>
        <w:ind w:firstLine="420" w:firstLineChars="200"/>
        <w:rPr>
          <w:rFonts w:hint="default" w:ascii="Times New Roman" w:hAnsi="Times New Roman" w:eastAsia="宋体" w:cs="Times New Roman"/>
          <w:b w:val="0"/>
          <w:bCs w:val="0"/>
          <w:color w:val="000000"/>
          <w:sz w:val="21"/>
          <w:szCs w:val="21"/>
          <w:lang w:val="en-US" w:eastAsia="zh-CN"/>
        </w:rPr>
      </w:pPr>
      <w:r>
        <w:rPr>
          <w:rFonts w:hint="default" w:ascii="Times New Roman" w:hAnsi="Times New Roman" w:cs="Times New Roman"/>
          <w:b w:val="0"/>
          <w:bCs w:val="0"/>
          <w:color w:val="000000"/>
          <w:sz w:val="21"/>
          <w:szCs w:val="21"/>
          <w:lang w:val="en-US" w:eastAsia="zh-CN"/>
        </w:rPr>
        <w:t>[来源：GB</w:t>
      </w:r>
      <w:r>
        <w:rPr>
          <w:rFonts w:hint="eastAsia" w:cs="Times New Roman"/>
          <w:b w:val="0"/>
          <w:bCs w:val="0"/>
          <w:color w:val="000000"/>
          <w:sz w:val="21"/>
          <w:szCs w:val="21"/>
          <w:lang w:val="en-US" w:eastAsia="zh-CN"/>
        </w:rPr>
        <w:t xml:space="preserve"> </w:t>
      </w:r>
      <w:r>
        <w:rPr>
          <w:rFonts w:hint="default" w:ascii="Times New Roman" w:hAnsi="Times New Roman" w:cs="Times New Roman"/>
          <w:b w:val="0"/>
          <w:bCs w:val="0"/>
          <w:color w:val="000000"/>
          <w:sz w:val="21"/>
          <w:szCs w:val="21"/>
          <w:lang w:val="en-US" w:eastAsia="zh-CN"/>
        </w:rPr>
        <w:t>18599-2020，3.11，有修改]</w:t>
      </w:r>
    </w:p>
    <w:p w14:paraId="20EAF342">
      <w:pPr>
        <w:pStyle w:val="3"/>
        <w:numPr>
          <w:ilvl w:val="2"/>
          <w:numId w:val="0"/>
        </w:numPr>
        <w:bidi w:val="0"/>
        <w:ind w:leftChars="0"/>
        <w:rPr>
          <w:rFonts w:hint="default" w:eastAsia="宋体"/>
          <w:lang w:val="en-US" w:eastAsia="zh-CN"/>
        </w:rPr>
      </w:pPr>
      <w:r>
        <w:rPr>
          <w:rFonts w:hint="eastAsia" w:ascii="黑体" w:hAnsi="黑体" w:eastAsia="黑体" w:cs="Times New Roman"/>
          <w:b w:val="0"/>
          <w:color w:val="000000" w:themeColor="text1"/>
          <w:sz w:val="21"/>
          <w:szCs w:val="21"/>
          <w:lang w:val="en-US" w:eastAsia="zh-CN"/>
          <w14:textFill>
            <w14:solidFill>
              <w14:schemeClr w14:val="tx1"/>
            </w14:solidFill>
          </w14:textFill>
        </w:rPr>
        <w:t>3.5</w:t>
      </w:r>
    </w:p>
    <w:p w14:paraId="67F87126">
      <w:pPr>
        <w:spacing w:line="360" w:lineRule="auto"/>
        <w:ind w:firstLine="420" w:firstLineChars="200"/>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生态</w:t>
      </w:r>
      <w:r>
        <w:rPr>
          <w:rFonts w:hint="eastAsia" w:ascii="Times New Roman" w:hAnsi="Times New Roman" w:cs="Times New Roman"/>
          <w:color w:val="000000" w:themeColor="text1"/>
          <w:szCs w:val="21"/>
          <w:lang w:val="en-US" w:eastAsia="zh-CN"/>
          <w14:textFill>
            <w14:solidFill>
              <w14:schemeClr w14:val="tx1"/>
            </w14:solidFill>
          </w14:textFill>
        </w:rPr>
        <w:t>恢</w:t>
      </w:r>
      <w:r>
        <w:rPr>
          <w:rFonts w:hint="default" w:ascii="Times New Roman" w:hAnsi="Times New Roman" w:cs="Times New Roman"/>
          <w:color w:val="000000" w:themeColor="text1"/>
          <w:szCs w:val="21"/>
          <w:lang w:val="en-US" w:eastAsia="zh-CN"/>
          <w14:textFill>
            <w14:solidFill>
              <w14:schemeClr w14:val="tx1"/>
            </w14:solidFill>
          </w14:textFill>
        </w:rPr>
        <w:t>复</w:t>
      </w:r>
      <w:r>
        <w:rPr>
          <w:rFonts w:hint="eastAsia" w:cs="Times New Roman"/>
          <w:color w:val="000000" w:themeColor="text1"/>
          <w:szCs w:val="21"/>
          <w:lang w:val="en-US" w:eastAsia="zh-CN"/>
          <w14:textFill>
            <w14:solidFill>
              <w14:schemeClr w14:val="tx1"/>
            </w14:solidFill>
          </w14:textFill>
        </w:rPr>
        <w:t xml:space="preserve"> </w:t>
      </w:r>
      <w:r>
        <w:rPr>
          <w:rFonts w:hint="default" w:ascii="Times New Roman" w:hAnsi="Times New Roman" w:cs="Times New Roman"/>
          <w:color w:val="000000" w:themeColor="text1"/>
          <w:szCs w:val="21"/>
          <w:lang w:val="en-US" w:eastAsia="zh-CN"/>
          <w14:textFill>
            <w14:solidFill>
              <w14:schemeClr w14:val="tx1"/>
            </w14:solidFill>
          </w14:textFill>
        </w:rPr>
        <w:t>ecological restoration</w:t>
      </w:r>
    </w:p>
    <w:p w14:paraId="4D382488">
      <w:pPr>
        <w:spacing w:line="360" w:lineRule="auto"/>
        <w:ind w:firstLine="420" w:firstLineChars="200"/>
        <w:rPr>
          <w:rFonts w:hint="default" w:ascii="Times New Roman" w:hAnsi="Times New Roman" w:cs="Times New Roman"/>
          <w:lang w:eastAsia="zh-CN"/>
        </w:rPr>
      </w:pPr>
      <w:r>
        <w:rPr>
          <w:rFonts w:hint="eastAsia" w:cs="Times New Roman"/>
          <w:lang w:val="en-US" w:eastAsia="zh-CN"/>
        </w:rPr>
        <w:t>对遭到退化、损伤或破坏的生态系统采取消除环境污染、防控环境风险、促进生态系统自然重建的整治措施，以缓解或消除造成的生态破坏和环境污染，使其生态功能逐步恢复和重建的过程</w:t>
      </w:r>
      <w:r>
        <w:rPr>
          <w:rFonts w:hint="default" w:ascii="Times New Roman" w:hAnsi="Times New Roman" w:cs="Times New Roman"/>
          <w:lang w:eastAsia="zh-CN"/>
        </w:rPr>
        <w:t>。</w:t>
      </w:r>
    </w:p>
    <w:p w14:paraId="0F358895">
      <w:pPr>
        <w:spacing w:line="360" w:lineRule="auto"/>
        <w:ind w:firstLine="420" w:firstLineChars="200"/>
        <w:rPr>
          <w:rFonts w:hint="default" w:ascii="Times New Roman" w:hAnsi="Times New Roman" w:cs="Times New Roman"/>
          <w:lang w:val="en-US" w:eastAsia="zh-CN"/>
        </w:rPr>
      </w:pPr>
      <w:r>
        <w:rPr>
          <w:rFonts w:hint="default" w:ascii="Times New Roman" w:hAnsi="Times New Roman" w:cs="Times New Roman"/>
          <w:b w:val="0"/>
          <w:bCs w:val="0"/>
          <w:color w:val="000000"/>
          <w:sz w:val="21"/>
          <w:szCs w:val="21"/>
          <w:lang w:val="en-US" w:eastAsia="zh-CN"/>
        </w:rPr>
        <w:t>[来源：</w:t>
      </w:r>
      <w:r>
        <w:rPr>
          <w:rFonts w:hint="eastAsia" w:cs="Times New Roman"/>
          <w:b w:val="0"/>
          <w:bCs w:val="0"/>
          <w:color w:val="000000"/>
          <w:sz w:val="21"/>
          <w:szCs w:val="21"/>
          <w:lang w:val="en-US" w:eastAsia="zh-CN"/>
        </w:rPr>
        <w:t>DB15/T 2763-2022</w:t>
      </w:r>
      <w:r>
        <w:rPr>
          <w:rFonts w:hint="default" w:ascii="Times New Roman" w:hAnsi="Times New Roman" w:cs="Times New Roman"/>
          <w:b w:val="0"/>
          <w:bCs w:val="0"/>
          <w:color w:val="000000"/>
          <w:sz w:val="21"/>
          <w:szCs w:val="21"/>
          <w:lang w:val="en-US" w:eastAsia="zh-CN"/>
        </w:rPr>
        <w:t>，3.</w:t>
      </w:r>
      <w:r>
        <w:rPr>
          <w:rFonts w:hint="eastAsia" w:cs="Times New Roman"/>
          <w:b w:val="0"/>
          <w:bCs w:val="0"/>
          <w:color w:val="000000"/>
          <w:sz w:val="21"/>
          <w:szCs w:val="21"/>
          <w:lang w:val="en-US" w:eastAsia="zh-CN"/>
        </w:rPr>
        <w:t>7</w:t>
      </w:r>
      <w:r>
        <w:rPr>
          <w:rFonts w:hint="default" w:ascii="Times New Roman" w:hAnsi="Times New Roman" w:cs="Times New Roman"/>
          <w:b w:val="0"/>
          <w:bCs w:val="0"/>
          <w:color w:val="000000"/>
          <w:sz w:val="21"/>
          <w:szCs w:val="21"/>
          <w:lang w:val="en-US" w:eastAsia="zh-CN"/>
        </w:rPr>
        <w:t>]</w:t>
      </w:r>
    </w:p>
    <w:p w14:paraId="411D2DBC">
      <w:pPr>
        <w:numPr>
          <w:ilvl w:val="0"/>
          <w:numId w:val="2"/>
        </w:numPr>
        <w:spacing w:before="0" w:line="720" w:lineRule="auto"/>
        <w:ind w:left="0"/>
        <w:outlineLvl w:val="0"/>
        <w:rPr>
          <w:rFonts w:hint="default" w:ascii="黑体" w:hAnsi="黑体" w:eastAsia="黑体" w:cs="Times New Roman"/>
          <w:color w:val="000000" w:themeColor="text1"/>
          <w:lang w:eastAsia="zh-CN"/>
          <w14:textFill>
            <w14:solidFill>
              <w14:schemeClr w14:val="tx1"/>
            </w14:solidFill>
          </w14:textFill>
        </w:rPr>
      </w:pPr>
      <w:bookmarkStart w:id="27" w:name="_Toc4623"/>
      <w:bookmarkStart w:id="28" w:name="_Toc13090"/>
      <w:bookmarkStart w:id="29" w:name="_Toc26108"/>
      <w:r>
        <w:rPr>
          <w:rFonts w:hint="eastAsia" w:ascii="黑体" w:hAnsi="黑体" w:eastAsia="黑体" w:cs="Times New Roman"/>
          <w:color w:val="000000" w:themeColor="text1"/>
          <w:lang w:val="en-US" w:eastAsia="zh-CN"/>
          <w14:textFill>
            <w14:solidFill>
              <w14:schemeClr w14:val="tx1"/>
            </w14:solidFill>
          </w14:textFill>
        </w:rPr>
        <w:t>总体要求</w:t>
      </w:r>
      <w:bookmarkEnd w:id="27"/>
      <w:bookmarkEnd w:id="28"/>
      <w:bookmarkEnd w:id="29"/>
    </w:p>
    <w:p w14:paraId="0D38471A">
      <w:pPr>
        <w:spacing w:before="0" w:after="0" w:line="480" w:lineRule="auto"/>
        <w:rPr>
          <w:rFonts w:hint="default" w:ascii="黑体" w:hAnsi="黑体" w:eastAsia="黑体" w:cs="Times New Roman"/>
          <w:b w:val="0"/>
          <w:color w:val="000000" w:themeColor="text1"/>
          <w:sz w:val="21"/>
          <w:szCs w:val="21"/>
          <w:lang w:val="en-US" w:eastAsia="zh-CN"/>
          <w14:textFill>
            <w14:solidFill>
              <w14:schemeClr w14:val="tx1"/>
            </w14:solidFill>
          </w14:textFill>
        </w:rPr>
      </w:pPr>
      <w:r>
        <w:rPr>
          <w:rFonts w:hint="eastAsia" w:ascii="黑体" w:hAnsi="黑体" w:eastAsia="黑体" w:cs="Times New Roman"/>
          <w:b w:val="0"/>
          <w:color w:val="000000" w:themeColor="text1"/>
          <w:sz w:val="21"/>
          <w:szCs w:val="21"/>
          <w:lang w:val="en-US" w:eastAsia="zh-CN"/>
          <w14:textFill>
            <w14:solidFill>
              <w14:schemeClr w14:val="tx1"/>
            </w14:solidFill>
          </w14:textFill>
        </w:rPr>
        <w:t>4.1基本原则</w:t>
      </w:r>
    </w:p>
    <w:p w14:paraId="6003FB40">
      <w:pPr>
        <w:numPr>
          <w:ilvl w:val="0"/>
          <w:numId w:val="0"/>
        </w:numPr>
        <w:spacing w:line="360" w:lineRule="auto"/>
        <w:ind w:leftChars="0"/>
        <w:rPr>
          <w:rFonts w:hint="default" w:ascii="黑体" w:hAnsi="黑体" w:eastAsia="黑体" w:cs="Times New Roman"/>
          <w:b w:val="0"/>
          <w:color w:val="000000" w:themeColor="text1"/>
          <w:sz w:val="21"/>
          <w:szCs w:val="21"/>
          <w:lang w:val="en-US" w:eastAsia="zh-CN"/>
          <w14:textFill>
            <w14:solidFill>
              <w14:schemeClr w14:val="tx1"/>
            </w14:solidFill>
          </w14:textFill>
        </w:rPr>
      </w:pPr>
      <w:r>
        <w:rPr>
          <w:rFonts w:hint="eastAsia" w:ascii="黑体" w:hAnsi="黑体" w:eastAsia="黑体" w:cs="Times New Roman"/>
          <w:b w:val="0"/>
          <w:color w:val="000000" w:themeColor="text1"/>
          <w:sz w:val="21"/>
          <w:szCs w:val="21"/>
          <w:lang w:val="en-US" w:eastAsia="zh-CN"/>
          <w14:textFill>
            <w14:solidFill>
              <w14:schemeClr w14:val="tx1"/>
            </w14:solidFill>
          </w14:textFill>
        </w:rPr>
        <w:t>4.1.1</w:t>
      </w:r>
      <w:r>
        <w:rPr>
          <w:rFonts w:hint="default" w:ascii="黑体" w:hAnsi="黑体" w:eastAsia="黑体" w:cs="Times New Roman"/>
          <w:b w:val="0"/>
          <w:color w:val="000000" w:themeColor="text1"/>
          <w:sz w:val="21"/>
          <w:szCs w:val="21"/>
          <w:lang w:val="en-US" w:eastAsia="zh-CN"/>
          <w14:textFill>
            <w14:solidFill>
              <w14:schemeClr w14:val="tx1"/>
            </w14:solidFill>
          </w14:textFill>
        </w:rPr>
        <w:t>安全性原则</w:t>
      </w:r>
    </w:p>
    <w:p w14:paraId="72A527E9">
      <w:pPr>
        <w:spacing w:line="360" w:lineRule="auto"/>
        <w:ind w:firstLine="420" w:firstLineChars="200"/>
        <w:rPr>
          <w:rFonts w:hint="default" w:ascii="Times New Roman" w:hAnsi="Times New Roman" w:cs="Times New Roman"/>
          <w:lang w:eastAsia="zh-CN"/>
        </w:rPr>
      </w:pPr>
      <w:r>
        <w:rPr>
          <w:rFonts w:hint="default" w:ascii="Times New Roman" w:hAnsi="Times New Roman" w:cs="Times New Roman"/>
          <w:lang w:eastAsia="zh-CN"/>
        </w:rPr>
        <w:t>在锂渣用于地表矿坑回填和生态恢复前，应进行环境本底调查与风险评估以确保环境风险可接受，同时重视施工人员安全，提供必要的培训与防护装备，以预防安全隐患，确保施工环境的安全与稳定。</w:t>
      </w:r>
    </w:p>
    <w:p w14:paraId="07B103BA">
      <w:pPr>
        <w:numPr>
          <w:ilvl w:val="0"/>
          <w:numId w:val="0"/>
        </w:numPr>
        <w:spacing w:line="360" w:lineRule="auto"/>
        <w:ind w:leftChars="0"/>
        <w:rPr>
          <w:rFonts w:hint="default" w:ascii="黑体" w:hAnsi="黑体" w:eastAsia="黑体" w:cs="Times New Roman"/>
          <w:b w:val="0"/>
          <w:color w:val="000000" w:themeColor="text1"/>
          <w:sz w:val="21"/>
          <w:szCs w:val="21"/>
          <w:highlight w:val="none"/>
          <w:lang w:val="en-US" w:eastAsia="zh-CN"/>
          <w14:textFill>
            <w14:solidFill>
              <w14:schemeClr w14:val="tx1"/>
            </w14:solidFill>
          </w14:textFill>
        </w:rPr>
      </w:pPr>
      <w:r>
        <w:rPr>
          <w:rFonts w:hint="eastAsia" w:ascii="黑体" w:hAnsi="黑体" w:eastAsia="黑体" w:cs="Times New Roman"/>
          <w:b w:val="0"/>
          <w:color w:val="000000" w:themeColor="text1"/>
          <w:sz w:val="21"/>
          <w:szCs w:val="21"/>
          <w:highlight w:val="none"/>
          <w:lang w:val="en-US" w:eastAsia="zh-CN"/>
          <w14:textFill>
            <w14:solidFill>
              <w14:schemeClr w14:val="tx1"/>
            </w14:solidFill>
          </w14:textFill>
        </w:rPr>
        <w:t>4.1.2科学性</w:t>
      </w:r>
      <w:r>
        <w:rPr>
          <w:rFonts w:hint="default" w:ascii="黑体" w:hAnsi="黑体" w:eastAsia="黑体" w:cs="Times New Roman"/>
          <w:b w:val="0"/>
          <w:color w:val="000000" w:themeColor="text1"/>
          <w:sz w:val="21"/>
          <w:szCs w:val="21"/>
          <w:highlight w:val="none"/>
          <w:lang w:val="en-US" w:eastAsia="zh-CN"/>
          <w14:textFill>
            <w14:solidFill>
              <w14:schemeClr w14:val="tx1"/>
            </w14:solidFill>
          </w14:textFill>
        </w:rPr>
        <w:t>原则</w:t>
      </w:r>
    </w:p>
    <w:p w14:paraId="2DD81132">
      <w:pPr>
        <w:spacing w:line="360" w:lineRule="auto"/>
        <w:ind w:firstLine="420" w:firstLineChars="200"/>
        <w:rPr>
          <w:rFonts w:hint="default" w:ascii="Times New Roman" w:hAnsi="Times New Roman" w:cs="Times New Roman"/>
          <w:highlight w:val="yellow"/>
          <w:lang w:eastAsia="zh-CN"/>
        </w:rPr>
      </w:pPr>
      <w:r>
        <w:rPr>
          <w:rFonts w:hint="default" w:ascii="Times New Roman" w:hAnsi="Times New Roman" w:cs="Times New Roman"/>
          <w:highlight w:val="none"/>
          <w:lang w:eastAsia="zh-CN"/>
        </w:rPr>
        <w:t>根据</w:t>
      </w:r>
      <w:r>
        <w:rPr>
          <w:rFonts w:hint="eastAsia" w:cs="Times New Roman"/>
          <w:highlight w:val="none"/>
          <w:lang w:val="en-US" w:eastAsia="zh-CN"/>
        </w:rPr>
        <w:t>地表矿坑</w:t>
      </w:r>
      <w:r>
        <w:rPr>
          <w:rFonts w:hint="default" w:ascii="Times New Roman" w:hAnsi="Times New Roman" w:cs="Times New Roman"/>
          <w:highlight w:val="none"/>
          <w:lang w:eastAsia="zh-CN"/>
        </w:rPr>
        <w:t>的水文地质条件、环境质量本底水平及锂渣特性，合理选择锂渣改性技术，因地制宜制定回填及生态恢复方案。</w:t>
      </w:r>
    </w:p>
    <w:p w14:paraId="70BC71D0">
      <w:pPr>
        <w:numPr>
          <w:ilvl w:val="0"/>
          <w:numId w:val="0"/>
        </w:numPr>
        <w:spacing w:line="360" w:lineRule="auto"/>
        <w:ind w:leftChars="0"/>
        <w:rPr>
          <w:rFonts w:hint="default" w:ascii="黑体" w:hAnsi="黑体" w:eastAsia="黑体" w:cs="Times New Roman"/>
          <w:b w:val="0"/>
          <w:color w:val="000000" w:themeColor="text1"/>
          <w:sz w:val="21"/>
          <w:szCs w:val="21"/>
          <w:lang w:val="en-US" w:eastAsia="zh-CN"/>
          <w14:textFill>
            <w14:solidFill>
              <w14:schemeClr w14:val="tx1"/>
            </w14:solidFill>
          </w14:textFill>
        </w:rPr>
      </w:pPr>
      <w:r>
        <w:rPr>
          <w:rFonts w:hint="eastAsia" w:ascii="黑体" w:hAnsi="黑体" w:eastAsia="黑体" w:cs="Times New Roman"/>
          <w:b w:val="0"/>
          <w:color w:val="000000" w:themeColor="text1"/>
          <w:sz w:val="21"/>
          <w:szCs w:val="21"/>
          <w:lang w:val="en-US" w:eastAsia="zh-CN"/>
          <w14:textFill>
            <w14:solidFill>
              <w14:schemeClr w14:val="tx1"/>
            </w14:solidFill>
          </w14:textFill>
        </w:rPr>
        <w:t>4.1.3</w:t>
      </w:r>
      <w:r>
        <w:rPr>
          <w:rFonts w:hint="default" w:ascii="黑体" w:hAnsi="黑体" w:eastAsia="黑体" w:cs="Times New Roman"/>
          <w:b w:val="0"/>
          <w:color w:val="000000" w:themeColor="text1"/>
          <w:sz w:val="21"/>
          <w:szCs w:val="21"/>
          <w:lang w:val="en-US" w:eastAsia="zh-CN"/>
          <w14:textFill>
            <w14:solidFill>
              <w14:schemeClr w14:val="tx1"/>
            </w14:solidFill>
          </w14:textFill>
        </w:rPr>
        <w:t>整体</w:t>
      </w:r>
      <w:r>
        <w:rPr>
          <w:rFonts w:hint="eastAsia" w:ascii="黑体" w:hAnsi="黑体" w:eastAsia="黑体" w:cs="Times New Roman"/>
          <w:b w:val="0"/>
          <w:color w:val="000000" w:themeColor="text1"/>
          <w:sz w:val="21"/>
          <w:szCs w:val="21"/>
          <w:lang w:val="en-US" w:eastAsia="zh-CN"/>
          <w14:textFill>
            <w14:solidFill>
              <w14:schemeClr w14:val="tx1"/>
            </w14:solidFill>
          </w14:textFill>
        </w:rPr>
        <w:t>性</w:t>
      </w:r>
      <w:r>
        <w:rPr>
          <w:rFonts w:hint="default" w:ascii="黑体" w:hAnsi="黑体" w:eastAsia="黑体" w:cs="Times New Roman"/>
          <w:b w:val="0"/>
          <w:color w:val="000000" w:themeColor="text1"/>
          <w:sz w:val="21"/>
          <w:szCs w:val="21"/>
          <w:lang w:val="en-US" w:eastAsia="zh-CN"/>
          <w14:textFill>
            <w14:solidFill>
              <w14:schemeClr w14:val="tx1"/>
            </w14:solidFill>
          </w14:textFill>
        </w:rPr>
        <w:t>原则</w:t>
      </w:r>
    </w:p>
    <w:p w14:paraId="105F53CB">
      <w:pPr>
        <w:spacing w:line="360" w:lineRule="auto"/>
        <w:ind w:firstLine="420" w:firstLineChars="200"/>
        <w:rPr>
          <w:rFonts w:hint="default" w:ascii="Times New Roman" w:hAnsi="Times New Roman" w:cs="Times New Roman"/>
          <w:lang w:val="en-US" w:eastAsia="zh-CN"/>
        </w:rPr>
      </w:pPr>
      <w:r>
        <w:rPr>
          <w:rFonts w:hint="default" w:ascii="Times New Roman" w:hAnsi="Times New Roman" w:cs="Times New Roman"/>
          <w:lang w:val="en-US" w:eastAsia="zh-CN"/>
        </w:rPr>
        <w:t>锂渣用于地表矿坑回填和生态恢复的全过程应符合现行法律法规和技术标准的相关要求，科学且系统地开展环境风险评估及全过程的生态环境质量监测。</w:t>
      </w:r>
    </w:p>
    <w:p w14:paraId="2DD696E8">
      <w:pPr>
        <w:numPr>
          <w:ilvl w:val="0"/>
          <w:numId w:val="0"/>
        </w:numPr>
        <w:spacing w:line="360" w:lineRule="auto"/>
        <w:ind w:leftChars="0"/>
        <w:rPr>
          <w:rFonts w:hint="default" w:ascii="黑体" w:hAnsi="黑体" w:eastAsia="黑体" w:cs="Times New Roman"/>
          <w:b w:val="0"/>
          <w:color w:val="000000" w:themeColor="text1"/>
          <w:sz w:val="21"/>
          <w:szCs w:val="21"/>
          <w:lang w:val="en-US" w:eastAsia="zh-CN"/>
          <w14:textFill>
            <w14:solidFill>
              <w14:schemeClr w14:val="tx1"/>
            </w14:solidFill>
          </w14:textFill>
        </w:rPr>
      </w:pPr>
      <w:r>
        <w:rPr>
          <w:rFonts w:hint="eastAsia" w:ascii="黑体" w:hAnsi="黑体" w:eastAsia="黑体" w:cs="Times New Roman"/>
          <w:b w:val="0"/>
          <w:color w:val="000000" w:themeColor="text1"/>
          <w:sz w:val="21"/>
          <w:szCs w:val="21"/>
          <w:lang w:val="en-US" w:eastAsia="zh-CN"/>
          <w14:textFill>
            <w14:solidFill>
              <w14:schemeClr w14:val="tx1"/>
            </w14:solidFill>
          </w14:textFill>
        </w:rPr>
        <w:t>4.1.4可行性</w:t>
      </w:r>
      <w:r>
        <w:rPr>
          <w:rFonts w:hint="default" w:ascii="黑体" w:hAnsi="黑体" w:eastAsia="黑体" w:cs="Times New Roman"/>
          <w:b w:val="0"/>
          <w:color w:val="000000" w:themeColor="text1"/>
          <w:sz w:val="21"/>
          <w:szCs w:val="21"/>
          <w:lang w:val="en-US" w:eastAsia="zh-CN"/>
          <w14:textFill>
            <w14:solidFill>
              <w14:schemeClr w14:val="tx1"/>
            </w14:solidFill>
          </w14:textFill>
        </w:rPr>
        <w:t>原则</w:t>
      </w:r>
    </w:p>
    <w:p w14:paraId="008433D9">
      <w:pPr>
        <w:spacing w:line="360" w:lineRule="auto"/>
        <w:ind w:firstLine="420" w:firstLineChars="200"/>
        <w:rPr>
          <w:rFonts w:hint="default" w:ascii="Times New Roman" w:hAnsi="Times New Roman" w:cs="Times New Roman"/>
          <w:lang w:val="en-US" w:eastAsia="zh-CN"/>
        </w:rPr>
      </w:pPr>
      <w:r>
        <w:rPr>
          <w:rFonts w:hint="default" w:ascii="Times New Roman" w:hAnsi="Times New Roman" w:cs="Times New Roman"/>
          <w:lang w:val="en-US" w:eastAsia="zh-CN"/>
        </w:rPr>
        <w:t>在所有提出的方案和措施中，必须进行可行性评估，确保其在技术、经济和环境上的可实施性，并结合实地调研与系统分析，以确保制定的策略既科学合理，又能有效落地实施。</w:t>
      </w:r>
    </w:p>
    <w:p w14:paraId="325820C5">
      <w:pPr>
        <w:spacing w:before="0" w:after="0" w:line="480" w:lineRule="auto"/>
        <w:rPr>
          <w:rFonts w:hint="default" w:ascii="黑体" w:hAnsi="黑体" w:eastAsia="黑体" w:cs="Times New Roman"/>
          <w:b w:val="0"/>
          <w:color w:val="000000" w:themeColor="text1"/>
          <w:sz w:val="21"/>
          <w:szCs w:val="21"/>
          <w:lang w:val="en-US" w:eastAsia="zh-CN"/>
          <w14:textFill>
            <w14:solidFill>
              <w14:schemeClr w14:val="tx1"/>
            </w14:solidFill>
          </w14:textFill>
        </w:rPr>
      </w:pPr>
      <w:r>
        <w:rPr>
          <w:rFonts w:hint="eastAsia" w:ascii="黑体" w:hAnsi="黑体" w:eastAsia="黑体" w:cs="Times New Roman"/>
          <w:b w:val="0"/>
          <w:color w:val="000000" w:themeColor="text1"/>
          <w:sz w:val="21"/>
          <w:szCs w:val="21"/>
          <w:lang w:val="en-US" w:eastAsia="zh-CN"/>
          <w14:textFill>
            <w14:solidFill>
              <w14:schemeClr w14:val="tx1"/>
            </w14:solidFill>
          </w14:textFill>
        </w:rPr>
        <w:t>4.2工作流程</w:t>
      </w:r>
    </w:p>
    <w:p w14:paraId="78CF4F8C">
      <w:pPr>
        <w:spacing w:line="360" w:lineRule="auto"/>
        <w:rPr>
          <w:rFonts w:hint="default" w:cs="Times New Roman"/>
          <w:lang w:val="en-US" w:eastAsia="zh-CN"/>
        </w:rPr>
      </w:pPr>
      <w:r>
        <w:rPr>
          <w:rFonts w:hint="eastAsia" w:ascii="黑体" w:hAnsi="黑体" w:eastAsia="黑体" w:cs="Times New Roman"/>
          <w:b w:val="0"/>
          <w:color w:val="000000" w:themeColor="text1"/>
          <w:sz w:val="21"/>
          <w:szCs w:val="21"/>
          <w:lang w:val="en-US" w:eastAsia="zh-CN"/>
          <w14:textFill>
            <w14:solidFill>
              <w14:schemeClr w14:val="tx1"/>
            </w14:solidFill>
          </w14:textFill>
        </w:rPr>
        <w:t xml:space="preserve">   </w:t>
      </w:r>
      <w:r>
        <w:rPr>
          <w:rFonts w:hint="eastAsia" w:cs="Times New Roman"/>
          <w:lang w:val="en-US" w:eastAsia="zh-CN"/>
        </w:rPr>
        <w:t xml:space="preserve"> 锂渣用于地表矿坑回填和生态恢复工作程序见图1。</w:t>
      </w:r>
    </w:p>
    <w:p w14:paraId="3411158C">
      <w:pPr>
        <w:spacing w:line="360" w:lineRule="auto"/>
        <w:jc w:val="center"/>
        <w:rPr>
          <w:rFonts w:hint="eastAsia" w:eastAsia="宋体"/>
          <w:lang w:eastAsia="zh-CN"/>
        </w:rPr>
      </w:pPr>
      <w:r>
        <w:rPr>
          <w:rFonts w:hint="eastAsia" w:eastAsia="宋体"/>
          <w:lang w:eastAsia="zh-CN"/>
        </w:rPr>
        <w:drawing>
          <wp:inline distT="0" distB="0" distL="114300" distR="114300">
            <wp:extent cx="3513455" cy="3003550"/>
            <wp:effectExtent l="0" t="0" r="10795" b="6350"/>
            <wp:docPr id="3" name="图片 3" descr="工作流程图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工作流程图_画板 1"/>
                    <pic:cNvPicPr>
                      <a:picLocks noChangeAspect="1"/>
                    </pic:cNvPicPr>
                  </pic:nvPicPr>
                  <pic:blipFill>
                    <a:blip r:embed="rId15"/>
                    <a:stretch>
                      <a:fillRect/>
                    </a:stretch>
                  </pic:blipFill>
                  <pic:spPr>
                    <a:xfrm>
                      <a:off x="0" y="0"/>
                      <a:ext cx="3513455" cy="3003550"/>
                    </a:xfrm>
                    <a:prstGeom prst="rect">
                      <a:avLst/>
                    </a:prstGeom>
                  </pic:spPr>
                </pic:pic>
              </a:graphicData>
            </a:graphic>
          </wp:inline>
        </w:drawing>
      </w:r>
    </w:p>
    <w:p w14:paraId="56443534">
      <w:pPr>
        <w:spacing w:line="360" w:lineRule="auto"/>
        <w:jc w:val="center"/>
      </w:pPr>
      <w:r>
        <w:rPr>
          <w:rFonts w:hint="eastAsia"/>
          <w:b/>
          <w:bCs/>
          <w:sz w:val="20"/>
          <w:szCs w:val="21"/>
          <w:lang w:val="en-US" w:eastAsia="zh-CN"/>
        </w:rPr>
        <w:t>图1 锂渣用于地表矿坑回填和生态恢复的工作流程</w:t>
      </w:r>
    </w:p>
    <w:p w14:paraId="67978B16">
      <w:pPr>
        <w:spacing w:line="480" w:lineRule="auto"/>
        <w:rPr>
          <w:rFonts w:hint="eastAsia" w:ascii="黑体" w:hAnsi="黑体" w:eastAsia="黑体" w:cs="Times New Roman"/>
          <w:b w:val="0"/>
          <w:color w:val="000000" w:themeColor="text1"/>
          <w:sz w:val="21"/>
          <w:szCs w:val="21"/>
          <w:lang w:val="en-US" w:eastAsia="zh-CN"/>
          <w14:textFill>
            <w14:solidFill>
              <w14:schemeClr w14:val="tx1"/>
            </w14:solidFill>
          </w14:textFill>
        </w:rPr>
      </w:pPr>
      <w:r>
        <w:rPr>
          <w:rFonts w:hint="eastAsia" w:ascii="黑体" w:hAnsi="黑体" w:eastAsia="黑体" w:cs="Times New Roman"/>
          <w:b w:val="0"/>
          <w:color w:val="000000" w:themeColor="text1"/>
          <w:sz w:val="21"/>
          <w:szCs w:val="21"/>
          <w:lang w:val="en-US" w:eastAsia="zh-CN"/>
          <w14:textFill>
            <w14:solidFill>
              <w14:schemeClr w14:val="tx1"/>
            </w14:solidFill>
          </w14:textFill>
        </w:rPr>
        <w:t>4.3矿坑选址要求</w:t>
      </w:r>
    </w:p>
    <w:p w14:paraId="09ABB1E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Times New Roman"/>
          <w:lang w:val="en-US" w:eastAsia="zh-CN"/>
        </w:rPr>
      </w:pPr>
      <w:r>
        <w:rPr>
          <w:rFonts w:hint="eastAsia" w:ascii="黑体" w:hAnsi="黑体" w:eastAsia="黑体" w:cs="Times New Roman"/>
          <w:b w:val="0"/>
          <w:color w:val="000000" w:themeColor="text1"/>
          <w:sz w:val="21"/>
          <w:szCs w:val="21"/>
          <w:lang w:val="en-US" w:eastAsia="zh-CN"/>
          <w14:textFill>
            <w14:solidFill>
              <w14:schemeClr w14:val="tx1"/>
            </w14:solidFill>
          </w14:textFill>
        </w:rPr>
        <w:t xml:space="preserve">4.3.1 </w:t>
      </w:r>
      <w:r>
        <w:rPr>
          <w:rFonts w:hint="eastAsia" w:ascii="Times New Roman" w:hAnsi="Times New Roman" w:eastAsia="宋体" w:cs="Times New Roman"/>
          <w:b w:val="0"/>
          <w:color w:val="auto"/>
          <w:sz w:val="21"/>
          <w:szCs w:val="22"/>
          <w:lang w:val="en-US" w:eastAsia="zh-CN"/>
        </w:rPr>
        <w:t>使用锂渣进行地表矿坑回填与生态恢复时，选址应与区域国土空间规划、生态环境保护规划、水土资源保护专项规划等相协调，并符合矿区生态修复的长期战略目标</w:t>
      </w:r>
      <w:r>
        <w:rPr>
          <w:rFonts w:hint="eastAsia" w:cs="Times New Roman"/>
          <w:lang w:val="en-US" w:eastAsia="zh-CN"/>
        </w:rPr>
        <w:t>。</w:t>
      </w:r>
    </w:p>
    <w:p w14:paraId="07A59860">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default" w:ascii="Times New Roman" w:hAnsi="Times New Roman" w:eastAsia="宋体" w:cs="Times New Roman"/>
          <w:b w:val="0"/>
          <w:color w:val="auto"/>
          <w:sz w:val="21"/>
          <w:szCs w:val="22"/>
          <w:lang w:val="en-US" w:eastAsia="zh-CN"/>
        </w:rPr>
      </w:pPr>
      <w:r>
        <w:rPr>
          <w:rFonts w:hint="eastAsia" w:ascii="黑体" w:hAnsi="黑体" w:eastAsia="黑体" w:cs="Times New Roman"/>
          <w:b w:val="0"/>
          <w:color w:val="000000" w:themeColor="text1"/>
          <w:sz w:val="21"/>
          <w:szCs w:val="21"/>
          <w:lang w:val="en-US" w:eastAsia="zh-CN"/>
          <w14:textFill>
            <w14:solidFill>
              <w14:schemeClr w14:val="tx1"/>
            </w14:solidFill>
          </w14:textFill>
        </w:rPr>
        <w:t xml:space="preserve">4.3.2 </w:t>
      </w:r>
      <w:r>
        <w:rPr>
          <w:rFonts w:hint="eastAsia" w:ascii="Times New Roman" w:hAnsi="Times New Roman" w:eastAsia="宋体" w:cs="Times New Roman"/>
          <w:b w:val="0"/>
          <w:sz w:val="21"/>
          <w:szCs w:val="22"/>
          <w:lang w:val="en-US" w:eastAsia="zh-CN"/>
        </w:rPr>
        <w:t>使用锂渣进行地表矿坑回填与生态恢复时，</w:t>
      </w:r>
      <w:r>
        <w:rPr>
          <w:rFonts w:hint="eastAsia" w:ascii="Times New Roman" w:hAnsi="Times New Roman" w:eastAsia="宋体" w:cs="Times New Roman"/>
          <w:b w:val="0"/>
          <w:color w:val="auto"/>
          <w:sz w:val="21"/>
          <w:szCs w:val="22"/>
          <w:lang w:val="en-US" w:eastAsia="zh-CN"/>
        </w:rPr>
        <w:t>应充分收集场地及周边水文地质、工程地质及环境地质资料，进行现状调查及污染特征分析，重点评估不稳定斜坡、渗透等地质灾害风险，确保选址的适宜性</w:t>
      </w:r>
      <w:r>
        <w:rPr>
          <w:rFonts w:hint="eastAsia" w:cs="Times New Roman"/>
          <w:b w:val="0"/>
          <w:sz w:val="21"/>
          <w:szCs w:val="22"/>
          <w:lang w:val="en-US" w:eastAsia="zh-CN"/>
        </w:rPr>
        <w:t>。</w:t>
      </w:r>
    </w:p>
    <w:p w14:paraId="7E1E2022">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cs="Times New Roman"/>
          <w:lang w:val="en-US" w:eastAsia="zh-CN"/>
        </w:rPr>
      </w:pPr>
      <w:r>
        <w:rPr>
          <w:rFonts w:hint="eastAsia" w:ascii="黑体" w:hAnsi="黑体" w:eastAsia="黑体" w:cs="Times New Roman"/>
          <w:b w:val="0"/>
          <w:color w:val="000000" w:themeColor="text1"/>
          <w:sz w:val="21"/>
          <w:szCs w:val="21"/>
          <w:lang w:val="en-US" w:eastAsia="zh-CN"/>
          <w14:textFill>
            <w14:solidFill>
              <w14:schemeClr w14:val="tx1"/>
            </w14:solidFill>
          </w14:textFill>
        </w:rPr>
        <w:t xml:space="preserve">4.3.3 </w:t>
      </w:r>
      <w:r>
        <w:rPr>
          <w:rFonts w:hint="eastAsia" w:ascii="Times New Roman" w:hAnsi="Times New Roman" w:eastAsia="宋体" w:cs="Times New Roman"/>
          <w:b w:val="0"/>
          <w:sz w:val="21"/>
          <w:szCs w:val="22"/>
          <w:lang w:val="en-US" w:eastAsia="zh-CN"/>
        </w:rPr>
        <w:t>使用锂渣进行地表矿坑回填与生态恢复时，应避开饮用水源地、天然滑坡泥石流多发区、活动断层、地质灾害区</w:t>
      </w:r>
      <w:r>
        <w:rPr>
          <w:rFonts w:hint="eastAsia" w:cs="Times New Roman"/>
          <w:b w:val="0"/>
          <w:sz w:val="21"/>
          <w:szCs w:val="22"/>
          <w:lang w:val="en-US" w:eastAsia="zh-CN"/>
        </w:rPr>
        <w:t>、已有污染地区</w:t>
      </w:r>
      <w:r>
        <w:rPr>
          <w:rFonts w:hint="eastAsia" w:ascii="Times New Roman" w:hAnsi="Times New Roman" w:eastAsia="宋体" w:cs="Times New Roman"/>
          <w:b w:val="0"/>
          <w:sz w:val="21"/>
          <w:szCs w:val="22"/>
          <w:lang w:val="en-US" w:eastAsia="zh-CN"/>
        </w:rPr>
        <w:t>等高风险地带，以及其他生态保护红线区和永久基本农田集中区域，以确保生态环境的安全与稳定</w:t>
      </w:r>
      <w:r>
        <w:rPr>
          <w:rFonts w:hint="eastAsia" w:cs="Times New Roman"/>
          <w:lang w:val="en-US" w:eastAsia="zh-CN"/>
        </w:rPr>
        <w:t>。</w:t>
      </w:r>
    </w:p>
    <w:p w14:paraId="6C785E5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lang w:val="en-US" w:eastAsia="zh-CN"/>
        </w:rPr>
      </w:pPr>
      <w:r>
        <w:rPr>
          <w:rFonts w:hint="eastAsia" w:ascii="黑体" w:hAnsi="黑体" w:eastAsia="黑体" w:cs="Times New Roman"/>
          <w:b w:val="0"/>
          <w:color w:val="000000" w:themeColor="text1"/>
          <w:sz w:val="21"/>
          <w:szCs w:val="21"/>
          <w:lang w:val="en-US" w:eastAsia="zh-CN"/>
          <w14:textFill>
            <w14:solidFill>
              <w14:schemeClr w14:val="tx1"/>
            </w14:solidFill>
          </w14:textFill>
        </w:rPr>
        <w:t xml:space="preserve">4.3.4 </w:t>
      </w:r>
      <w:r>
        <w:rPr>
          <w:rFonts w:hint="eastAsia" w:ascii="Times New Roman" w:hAnsi="Times New Roman" w:eastAsia="宋体" w:cs="Times New Roman"/>
          <w:b w:val="0"/>
          <w:sz w:val="21"/>
          <w:szCs w:val="22"/>
          <w:lang w:val="en-US" w:eastAsia="zh-CN"/>
        </w:rPr>
        <w:t>使用锂渣进行地表矿坑回填与生态恢复的矿坑选址必须考虑矿</w:t>
      </w:r>
      <w:r>
        <w:rPr>
          <w:rFonts w:hint="eastAsia" w:cs="Times New Roman"/>
          <w:b w:val="0"/>
          <w:sz w:val="21"/>
          <w:szCs w:val="22"/>
          <w:lang w:val="en-US" w:eastAsia="zh-CN"/>
        </w:rPr>
        <w:t>区</w:t>
      </w:r>
      <w:r>
        <w:rPr>
          <w:rFonts w:hint="eastAsia" w:ascii="Times New Roman" w:hAnsi="Times New Roman" w:eastAsia="宋体" w:cs="Times New Roman"/>
          <w:b w:val="0"/>
          <w:sz w:val="21"/>
          <w:szCs w:val="22"/>
          <w:lang w:val="en-US" w:eastAsia="zh-CN"/>
        </w:rPr>
        <w:t>的地质条件，以确保回填后的承载力满足要求，从而避免局部下沉及防渗工程、管道工程等构筑物设置不当所引发的环境与安全风险。</w:t>
      </w:r>
    </w:p>
    <w:p w14:paraId="6FC7FB32">
      <w:pPr>
        <w:numPr>
          <w:ilvl w:val="0"/>
          <w:numId w:val="2"/>
        </w:numPr>
        <w:spacing w:before="0" w:line="720" w:lineRule="auto"/>
        <w:ind w:left="0"/>
        <w:outlineLvl w:val="0"/>
        <w:rPr>
          <w:rFonts w:hint="default" w:ascii="黑体" w:hAnsi="黑体" w:eastAsia="黑体" w:cs="Times New Roman"/>
          <w:color w:val="000000" w:themeColor="text1"/>
          <w:lang w:eastAsia="zh-CN"/>
          <w14:textFill>
            <w14:solidFill>
              <w14:schemeClr w14:val="tx1"/>
            </w14:solidFill>
          </w14:textFill>
        </w:rPr>
      </w:pPr>
      <w:bookmarkStart w:id="30" w:name="_Toc7577"/>
      <w:bookmarkStart w:id="31" w:name="_Toc1921"/>
      <w:bookmarkStart w:id="32" w:name="_Toc27764"/>
      <w:r>
        <w:rPr>
          <w:rFonts w:hint="eastAsia" w:ascii="黑体" w:hAnsi="黑体" w:eastAsia="黑体" w:cs="Times New Roman"/>
          <w:color w:val="000000" w:themeColor="text1"/>
          <w:lang w:val="en-US" w:eastAsia="zh-CN"/>
          <w14:textFill>
            <w14:solidFill>
              <w14:schemeClr w14:val="tx1"/>
            </w14:solidFill>
          </w14:textFill>
        </w:rPr>
        <w:t>本底</w:t>
      </w:r>
      <w:r>
        <w:rPr>
          <w:rFonts w:hint="default" w:ascii="黑体" w:hAnsi="黑体" w:eastAsia="黑体" w:cs="Times New Roman"/>
          <w:color w:val="000000" w:themeColor="text1"/>
          <w:lang w:eastAsia="zh-CN"/>
          <w14:textFill>
            <w14:solidFill>
              <w14:schemeClr w14:val="tx1"/>
            </w14:solidFill>
          </w14:textFill>
        </w:rPr>
        <w:t>调查</w:t>
      </w:r>
      <w:bookmarkEnd w:id="30"/>
      <w:bookmarkEnd w:id="31"/>
      <w:bookmarkEnd w:id="32"/>
    </w:p>
    <w:p w14:paraId="7E26DCE3">
      <w:pPr>
        <w:numPr>
          <w:ilvl w:val="-1"/>
          <w:numId w:val="0"/>
        </w:numPr>
        <w:spacing w:before="0" w:line="480" w:lineRule="auto"/>
        <w:ind w:left="0"/>
        <w:outlineLvl w:val="9"/>
        <w:rPr>
          <w:rFonts w:hint="default" w:ascii="Times New Roman" w:hAnsi="Times New Roman" w:eastAsia="宋体" w:cs="Times New Roman"/>
          <w:b w:val="0"/>
          <w:sz w:val="21"/>
          <w:szCs w:val="22"/>
          <w:lang w:val="en-US" w:eastAsia="zh-CN"/>
        </w:rPr>
      </w:pPr>
      <w:r>
        <w:rPr>
          <w:rFonts w:hint="eastAsia" w:ascii="黑体" w:hAnsi="黑体" w:eastAsia="黑体" w:cs="Times New Roman"/>
          <w:color w:val="000000" w:themeColor="text1"/>
          <w:szCs w:val="21"/>
          <w:lang w:val="en-US" w:eastAsia="zh-CN"/>
          <w14:textFill>
            <w14:solidFill>
              <w14:schemeClr w14:val="tx1"/>
            </w14:solidFill>
          </w14:textFill>
        </w:rPr>
        <w:t>5.1一般要求</w:t>
      </w:r>
    </w:p>
    <w:p w14:paraId="7E38D60A">
      <w:pPr>
        <w:numPr>
          <w:ilvl w:val="-1"/>
          <w:numId w:val="0"/>
        </w:numPr>
        <w:spacing w:before="0" w:line="360" w:lineRule="auto"/>
        <w:ind w:left="0" w:firstLine="420" w:firstLineChars="200"/>
        <w:outlineLvl w:val="9"/>
        <w:rPr>
          <w:rFonts w:hint="eastAsia" w:ascii="Times New Roman" w:hAnsi="Times New Roman" w:eastAsia="宋体" w:cs="Times New Roman"/>
          <w:color w:val="auto"/>
          <w:szCs w:val="22"/>
          <w:lang w:val="en-US" w:eastAsia="zh-CN"/>
        </w:rPr>
      </w:pPr>
      <w:r>
        <w:rPr>
          <w:rFonts w:hint="eastAsia" w:ascii="Times New Roman" w:hAnsi="Times New Roman" w:eastAsia="宋体" w:cs="Times New Roman"/>
          <w:b w:val="0"/>
          <w:sz w:val="21"/>
          <w:szCs w:val="22"/>
          <w:lang w:val="en-US" w:eastAsia="zh-CN"/>
        </w:rPr>
        <w:t>通过文献调研、资料收集、现场调查和人员访谈相结合的方式，详细考察</w:t>
      </w:r>
      <w:r>
        <w:rPr>
          <w:rFonts w:hint="eastAsia" w:cs="Times New Roman"/>
          <w:b w:val="0"/>
          <w:sz w:val="21"/>
          <w:szCs w:val="22"/>
          <w:lang w:val="en-US" w:eastAsia="zh-CN"/>
        </w:rPr>
        <w:t>地表矿坑</w:t>
      </w:r>
      <w:r>
        <w:rPr>
          <w:rFonts w:hint="eastAsia" w:ascii="Times New Roman" w:hAnsi="Times New Roman" w:eastAsia="宋体" w:cs="Times New Roman"/>
          <w:b w:val="0"/>
          <w:sz w:val="21"/>
          <w:szCs w:val="22"/>
          <w:lang w:val="en-US" w:eastAsia="zh-CN"/>
        </w:rPr>
        <w:t>所在水文地质单元的自然环境、环境质量本底</w:t>
      </w:r>
      <w:r>
        <w:rPr>
          <w:rFonts w:hint="eastAsia" w:cs="Times New Roman"/>
          <w:b w:val="0"/>
          <w:sz w:val="21"/>
          <w:szCs w:val="22"/>
          <w:lang w:val="en-US" w:eastAsia="zh-CN"/>
        </w:rPr>
        <w:t>和</w:t>
      </w:r>
      <w:r>
        <w:rPr>
          <w:rFonts w:hint="eastAsia" w:ascii="Times New Roman" w:hAnsi="Times New Roman" w:eastAsia="宋体" w:cs="Times New Roman"/>
          <w:b w:val="0"/>
          <w:sz w:val="21"/>
          <w:szCs w:val="22"/>
          <w:lang w:val="en-US" w:eastAsia="zh-CN"/>
        </w:rPr>
        <w:t>环境</w:t>
      </w:r>
      <w:r>
        <w:rPr>
          <w:rFonts w:hint="eastAsia" w:cs="Times New Roman"/>
          <w:b w:val="0"/>
          <w:sz w:val="21"/>
          <w:szCs w:val="22"/>
          <w:lang w:val="en-US" w:eastAsia="zh-CN"/>
        </w:rPr>
        <w:t>风险等</w:t>
      </w:r>
      <w:r>
        <w:rPr>
          <w:rFonts w:hint="eastAsia" w:ascii="Times New Roman" w:hAnsi="Times New Roman" w:eastAsia="宋体" w:cs="Times New Roman"/>
          <w:b w:val="0"/>
          <w:sz w:val="21"/>
          <w:szCs w:val="22"/>
          <w:lang w:val="en-US" w:eastAsia="zh-CN"/>
        </w:rPr>
        <w:t>，以确保调查的全面性和规范性。</w:t>
      </w:r>
    </w:p>
    <w:p w14:paraId="0FBA6DB5">
      <w:pPr>
        <w:numPr>
          <w:ilvl w:val="-1"/>
          <w:numId w:val="0"/>
        </w:numPr>
        <w:spacing w:before="0" w:line="480" w:lineRule="auto"/>
        <w:ind w:left="0"/>
        <w:outlineLvl w:val="9"/>
        <w:rPr>
          <w:rFonts w:hint="default" w:ascii="黑体" w:hAnsi="黑体" w:eastAsia="黑体" w:cs="Times New Roman"/>
          <w:color w:val="000000" w:themeColor="text1"/>
          <w:szCs w:val="21"/>
          <w:lang w:val="en-US" w:eastAsia="zh-CN"/>
          <w14:textFill>
            <w14:solidFill>
              <w14:schemeClr w14:val="tx1"/>
            </w14:solidFill>
          </w14:textFill>
        </w:rPr>
      </w:pPr>
      <w:r>
        <w:rPr>
          <w:rFonts w:hint="eastAsia" w:ascii="黑体" w:hAnsi="黑体" w:eastAsia="黑体" w:cs="Times New Roman"/>
          <w:color w:val="000000" w:themeColor="text1"/>
          <w:szCs w:val="21"/>
          <w:lang w:val="en-US" w:eastAsia="zh-CN"/>
          <w14:textFill>
            <w14:solidFill>
              <w14:schemeClr w14:val="tx1"/>
            </w14:solidFill>
          </w14:textFill>
        </w:rPr>
        <w:t>5.2</w:t>
      </w:r>
      <w:r>
        <w:rPr>
          <w:rFonts w:hint="default" w:ascii="黑体" w:hAnsi="黑体" w:eastAsia="黑体" w:cs="Times New Roman"/>
          <w:color w:val="000000" w:themeColor="text1"/>
          <w:szCs w:val="21"/>
          <w:lang w:val="en-US" w:eastAsia="zh-CN"/>
          <w14:textFill>
            <w14:solidFill>
              <w14:schemeClr w14:val="tx1"/>
            </w14:solidFill>
          </w14:textFill>
        </w:rPr>
        <w:t>地表矿坑</w:t>
      </w:r>
      <w:r>
        <w:rPr>
          <w:rFonts w:hint="eastAsia" w:ascii="黑体" w:hAnsi="黑体" w:eastAsia="黑体" w:cs="Times New Roman"/>
          <w:color w:val="000000" w:themeColor="text1"/>
          <w:szCs w:val="21"/>
          <w:lang w:val="en-US" w:eastAsia="zh-CN"/>
          <w14:textFill>
            <w14:solidFill>
              <w14:schemeClr w14:val="tx1"/>
            </w14:solidFill>
          </w14:textFill>
        </w:rPr>
        <w:t>调查</w:t>
      </w:r>
    </w:p>
    <w:p w14:paraId="105681F5">
      <w:pPr>
        <w:spacing w:line="360" w:lineRule="auto"/>
        <w:ind w:firstLine="0" w:firstLineChars="0"/>
        <w:rPr>
          <w:rFonts w:hint="default" w:ascii="Times New Roman" w:hAnsi="Times New Roman" w:eastAsia="宋体" w:cs="Times New Roman"/>
          <w:b w:val="0"/>
          <w:sz w:val="21"/>
          <w:szCs w:val="22"/>
          <w:lang w:val="en-US" w:eastAsia="zh-CN"/>
        </w:rPr>
      </w:pPr>
      <w:r>
        <w:rPr>
          <w:rFonts w:hint="eastAsia" w:ascii="黑体" w:hAnsi="黑体" w:eastAsia="黑体" w:cs="Times New Roman"/>
          <w:b w:val="0"/>
          <w:color w:val="000000" w:themeColor="text1"/>
          <w:sz w:val="21"/>
          <w:szCs w:val="21"/>
          <w:lang w:val="en-US" w:eastAsia="zh-CN"/>
          <w14:textFill>
            <w14:solidFill>
              <w14:schemeClr w14:val="tx1"/>
            </w14:solidFill>
          </w14:textFill>
        </w:rPr>
        <w:t>5.2.1</w:t>
      </w:r>
      <w:r>
        <w:rPr>
          <w:rFonts w:hint="eastAsia" w:ascii="Times New Roman" w:hAnsi="Times New Roman" w:eastAsia="宋体" w:cs="Times New Roman"/>
          <w:b w:val="0"/>
          <w:color w:val="auto"/>
          <w:sz w:val="21"/>
          <w:szCs w:val="22"/>
          <w:lang w:val="en-US" w:eastAsia="zh-CN"/>
        </w:rPr>
        <w:t xml:space="preserve"> </w:t>
      </w:r>
      <w:r>
        <w:rPr>
          <w:rFonts w:hint="eastAsia" w:cs="Times New Roman"/>
          <w:b w:val="0"/>
          <w:sz w:val="21"/>
          <w:szCs w:val="22"/>
          <w:lang w:val="en-US" w:eastAsia="zh-CN"/>
        </w:rPr>
        <w:t>调查地表矿坑地质结构、</w:t>
      </w:r>
      <w:r>
        <w:rPr>
          <w:rFonts w:hint="default" w:ascii="Times New Roman" w:hAnsi="Times New Roman" w:cs="Times New Roman"/>
          <w:lang w:val="en-US" w:eastAsia="zh-CN"/>
        </w:rPr>
        <w:t>地形地貌</w:t>
      </w:r>
      <w:r>
        <w:rPr>
          <w:rFonts w:hint="eastAsia" w:cs="Times New Roman"/>
          <w:lang w:val="en-US" w:eastAsia="zh-CN"/>
        </w:rPr>
        <w:t>、水文地质、</w:t>
      </w:r>
      <w:r>
        <w:rPr>
          <w:rFonts w:hint="eastAsia" w:ascii="Times New Roman" w:hAnsi="Times New Roman" w:eastAsia="宋体" w:cs="Times New Roman"/>
          <w:b w:val="0"/>
          <w:sz w:val="21"/>
          <w:szCs w:val="22"/>
          <w:lang w:val="en-US" w:eastAsia="zh-CN"/>
        </w:rPr>
        <w:t>气象与土地利用调</w:t>
      </w:r>
      <w:r>
        <w:rPr>
          <w:rFonts w:hint="eastAsia" w:cs="Times New Roman"/>
          <w:b w:val="0"/>
          <w:sz w:val="21"/>
          <w:szCs w:val="22"/>
          <w:lang w:val="en-US" w:eastAsia="zh-CN"/>
        </w:rPr>
        <w:t>和</w:t>
      </w:r>
      <w:r>
        <w:rPr>
          <w:rFonts w:hint="eastAsia" w:ascii="Times New Roman" w:hAnsi="Times New Roman" w:eastAsia="宋体" w:cs="Times New Roman"/>
          <w:b w:val="0"/>
          <w:sz w:val="21"/>
          <w:szCs w:val="22"/>
          <w:lang w:val="en-US" w:eastAsia="zh-CN"/>
        </w:rPr>
        <w:t>生态现状</w:t>
      </w:r>
      <w:r>
        <w:rPr>
          <w:rFonts w:hint="eastAsia" w:cs="Times New Roman"/>
          <w:b w:val="0"/>
          <w:sz w:val="21"/>
          <w:szCs w:val="22"/>
          <w:lang w:val="en-US" w:eastAsia="zh-CN"/>
        </w:rPr>
        <w:t>的基本特征。</w:t>
      </w:r>
    </w:p>
    <w:p w14:paraId="7AC25E4B">
      <w:pPr>
        <w:spacing w:line="360" w:lineRule="auto"/>
        <w:ind w:firstLine="0" w:firstLineChars="0"/>
        <w:rPr>
          <w:rFonts w:hint="default" w:ascii="Times New Roman" w:hAnsi="Times New Roman" w:cs="Times New Roman"/>
          <w:lang w:val="en-US" w:eastAsia="zh-CN"/>
        </w:rPr>
      </w:pPr>
      <w:r>
        <w:rPr>
          <w:rFonts w:hint="eastAsia" w:ascii="黑体" w:hAnsi="黑体" w:eastAsia="黑体" w:cs="Times New Roman"/>
          <w:b w:val="0"/>
          <w:color w:val="000000" w:themeColor="text1"/>
          <w:sz w:val="21"/>
          <w:szCs w:val="21"/>
          <w:lang w:val="en-US" w:eastAsia="zh-CN"/>
          <w14:textFill>
            <w14:solidFill>
              <w14:schemeClr w14:val="tx1"/>
            </w14:solidFill>
          </w14:textFill>
        </w:rPr>
        <w:t>5.2.2</w:t>
      </w:r>
      <w:r>
        <w:rPr>
          <w:rFonts w:hint="eastAsia" w:ascii="Times New Roman" w:hAnsi="Times New Roman" w:eastAsia="宋体" w:cs="Times New Roman"/>
          <w:b w:val="0"/>
          <w:sz w:val="21"/>
          <w:szCs w:val="22"/>
          <w:lang w:val="en-US" w:eastAsia="zh-CN"/>
        </w:rPr>
        <w:t xml:space="preserve"> </w:t>
      </w:r>
      <w:r>
        <w:rPr>
          <w:rFonts w:hint="eastAsia" w:cs="Times New Roman"/>
          <w:b w:val="0"/>
          <w:sz w:val="21"/>
          <w:szCs w:val="22"/>
          <w:lang w:val="en-US" w:eastAsia="zh-CN"/>
        </w:rPr>
        <w:t>地质结构调查主要包括</w:t>
      </w:r>
      <w:r>
        <w:rPr>
          <w:rFonts w:hint="eastAsia" w:ascii="Times New Roman" w:hAnsi="Times New Roman" w:eastAsia="宋体" w:cs="Times New Roman"/>
          <w:b w:val="0"/>
          <w:color w:val="auto"/>
          <w:sz w:val="21"/>
          <w:szCs w:val="22"/>
          <w:lang w:val="en-US" w:eastAsia="zh-CN"/>
        </w:rPr>
        <w:t>矿坑所处区域的地形地貌、地层结构、地层稳定性和区域岩性等</w:t>
      </w:r>
      <w:r>
        <w:rPr>
          <w:rFonts w:hint="eastAsia" w:cs="Times New Roman"/>
          <w:b w:val="0"/>
          <w:sz w:val="21"/>
          <w:szCs w:val="22"/>
          <w:lang w:val="en-US" w:eastAsia="zh-CN"/>
        </w:rPr>
        <w:t>。</w:t>
      </w:r>
    </w:p>
    <w:p w14:paraId="29D2C87A">
      <w:pPr>
        <w:spacing w:line="360" w:lineRule="auto"/>
        <w:ind w:firstLine="0" w:firstLineChars="0"/>
        <w:rPr>
          <w:rFonts w:hint="default" w:cs="Times New Roman"/>
          <w:szCs w:val="21"/>
          <w:lang w:val="en-US" w:eastAsia="zh-CN"/>
        </w:rPr>
      </w:pPr>
      <w:r>
        <w:rPr>
          <w:rFonts w:hint="eastAsia" w:ascii="黑体" w:hAnsi="黑体" w:eastAsia="黑体" w:cs="Times New Roman"/>
          <w:b w:val="0"/>
          <w:color w:val="000000" w:themeColor="text1"/>
          <w:sz w:val="21"/>
          <w:szCs w:val="21"/>
          <w:lang w:val="en-US" w:eastAsia="zh-CN"/>
          <w14:textFill>
            <w14:solidFill>
              <w14:schemeClr w14:val="tx1"/>
            </w14:solidFill>
          </w14:textFill>
        </w:rPr>
        <w:t xml:space="preserve">5.2.3 </w:t>
      </w:r>
      <w:r>
        <w:rPr>
          <w:rFonts w:hint="default" w:ascii="Times New Roman" w:hAnsi="Times New Roman" w:cs="Times New Roman"/>
          <w:lang w:val="en-US" w:eastAsia="zh-CN"/>
        </w:rPr>
        <w:t>地形地貌调查主要</w:t>
      </w:r>
      <w:r>
        <w:rPr>
          <w:rFonts w:hint="eastAsia" w:cs="Times New Roman"/>
          <w:lang w:val="en-US" w:eastAsia="zh-CN"/>
        </w:rPr>
        <w:t>包括</w:t>
      </w:r>
      <w:r>
        <w:rPr>
          <w:rFonts w:hint="default" w:ascii="Times New Roman" w:hAnsi="Times New Roman" w:cs="Times New Roman"/>
          <w:lang w:val="en-US" w:eastAsia="zh-CN"/>
        </w:rPr>
        <w:t>影响矿坑安全的危岩体、高边坡和破碎斜坡等岩体形态的规模、分布和发育程度等，同时明确矿坑地质灾害隐患的类型、分布、规模及其现状</w:t>
      </w:r>
      <w:r>
        <w:rPr>
          <w:rFonts w:hint="eastAsia" w:cs="Times New Roman"/>
          <w:lang w:val="en-US" w:eastAsia="zh-CN"/>
        </w:rPr>
        <w:t>。</w:t>
      </w:r>
    </w:p>
    <w:p w14:paraId="3BC5E77F">
      <w:pPr>
        <w:spacing w:line="360" w:lineRule="auto"/>
        <w:ind w:firstLine="0" w:firstLineChars="0"/>
        <w:rPr>
          <w:rFonts w:hint="default" w:cs="Times New Roman"/>
          <w:lang w:val="en-US" w:eastAsia="zh-CN"/>
        </w:rPr>
      </w:pPr>
      <w:r>
        <w:rPr>
          <w:rFonts w:hint="eastAsia" w:ascii="黑体" w:hAnsi="黑体" w:eastAsia="黑体" w:cs="Times New Roman"/>
          <w:b w:val="0"/>
          <w:color w:val="000000" w:themeColor="text1"/>
          <w:sz w:val="21"/>
          <w:szCs w:val="21"/>
          <w:lang w:val="en-US" w:eastAsia="zh-CN"/>
          <w14:textFill>
            <w14:solidFill>
              <w14:schemeClr w14:val="tx1"/>
            </w14:solidFill>
          </w14:textFill>
        </w:rPr>
        <w:t xml:space="preserve">5.2.4 </w:t>
      </w:r>
      <w:r>
        <w:rPr>
          <w:rFonts w:hint="eastAsia" w:cs="Times New Roman"/>
          <w:lang w:val="en-US" w:eastAsia="zh-CN"/>
        </w:rPr>
        <w:t>水文地质调查主要针对矿坑及其流域的地表水和地下水的基本水文特征，主要包括包气带特征、地表水水系特征、多年平均径流量及其特征值、地下水类型、含水层分布特征、水力联系，以及地下水的补给和排泄情况和地下水水位动态变化等，且需遵循</w:t>
      </w:r>
      <w:r>
        <w:rPr>
          <w:rFonts w:hint="default" w:cs="Times New Roman"/>
          <w:lang w:val="en-US" w:eastAsia="zh-CN"/>
        </w:rPr>
        <w:t>GB/T</w:t>
      </w:r>
      <w:r>
        <w:rPr>
          <w:rFonts w:hint="eastAsia" w:cs="Times New Roman"/>
          <w:lang w:val="en-US" w:eastAsia="zh-CN"/>
        </w:rPr>
        <w:t xml:space="preserve"> </w:t>
      </w:r>
      <w:r>
        <w:rPr>
          <w:rFonts w:hint="default" w:cs="Times New Roman"/>
          <w:lang w:val="en-US" w:eastAsia="zh-CN"/>
        </w:rPr>
        <w:t>12719和HJ</w:t>
      </w:r>
      <w:r>
        <w:rPr>
          <w:rFonts w:hint="eastAsia" w:cs="Times New Roman"/>
          <w:lang w:val="en-US" w:eastAsia="zh-CN"/>
        </w:rPr>
        <w:t xml:space="preserve"> </w:t>
      </w:r>
      <w:r>
        <w:rPr>
          <w:rFonts w:hint="default" w:cs="Times New Roman"/>
          <w:lang w:val="en-US" w:eastAsia="zh-CN"/>
        </w:rPr>
        <w:t>610</w:t>
      </w:r>
      <w:r>
        <w:rPr>
          <w:rFonts w:hint="eastAsia" w:cs="Times New Roman"/>
          <w:lang w:val="en-US" w:eastAsia="zh-CN"/>
        </w:rPr>
        <w:t>相关标准。</w:t>
      </w:r>
    </w:p>
    <w:p w14:paraId="7CA2924B">
      <w:pPr>
        <w:spacing w:line="360" w:lineRule="auto"/>
        <w:ind w:firstLine="0" w:firstLineChars="0"/>
        <w:rPr>
          <w:rFonts w:hint="default" w:cs="Times New Roman"/>
          <w:szCs w:val="21"/>
          <w:lang w:val="en-US" w:eastAsia="zh-CN"/>
        </w:rPr>
      </w:pPr>
      <w:r>
        <w:rPr>
          <w:rFonts w:hint="eastAsia" w:ascii="黑体" w:hAnsi="黑体" w:eastAsia="黑体" w:cs="Times New Roman"/>
          <w:b w:val="0"/>
          <w:color w:val="000000" w:themeColor="text1"/>
          <w:sz w:val="21"/>
          <w:szCs w:val="21"/>
          <w:lang w:val="en-US" w:eastAsia="zh-CN"/>
          <w14:textFill>
            <w14:solidFill>
              <w14:schemeClr w14:val="tx1"/>
            </w14:solidFill>
          </w14:textFill>
        </w:rPr>
        <w:t xml:space="preserve">5.2.5 </w:t>
      </w:r>
      <w:r>
        <w:rPr>
          <w:rFonts w:hint="eastAsia" w:ascii="Times New Roman" w:hAnsi="Times New Roman" w:eastAsia="宋体" w:cs="Times New Roman"/>
          <w:b w:val="0"/>
          <w:color w:val="auto"/>
          <w:sz w:val="21"/>
          <w:szCs w:val="22"/>
          <w:lang w:val="en-US" w:eastAsia="zh-CN"/>
        </w:rPr>
        <w:t>气象与土地利用调查主要包括多年平均的气象要素，如降水、蒸发、气温、风向和风速，以及相应的土地条件、利用现状和规划等。</w:t>
      </w:r>
    </w:p>
    <w:p w14:paraId="43B13D44">
      <w:pPr>
        <w:spacing w:line="360" w:lineRule="auto"/>
        <w:ind w:firstLine="0" w:firstLineChars="0"/>
        <w:rPr>
          <w:rFonts w:hint="default" w:ascii="Times New Roman" w:hAnsi="Times New Roman" w:cs="Times New Roman"/>
          <w:lang w:val="en-US" w:eastAsia="zh-CN"/>
        </w:rPr>
      </w:pPr>
      <w:r>
        <w:rPr>
          <w:rFonts w:hint="eastAsia" w:ascii="黑体" w:hAnsi="黑体" w:eastAsia="黑体" w:cs="Times New Roman"/>
          <w:b w:val="0"/>
          <w:color w:val="000000" w:themeColor="text1"/>
          <w:sz w:val="21"/>
          <w:szCs w:val="21"/>
          <w:lang w:val="en-US" w:eastAsia="zh-CN"/>
          <w14:textFill>
            <w14:solidFill>
              <w14:schemeClr w14:val="tx1"/>
            </w14:solidFill>
          </w14:textFill>
        </w:rPr>
        <w:t xml:space="preserve">5.2.6 </w:t>
      </w:r>
      <w:r>
        <w:rPr>
          <w:rFonts w:hint="eastAsia" w:ascii="Times New Roman" w:hAnsi="Times New Roman" w:eastAsia="宋体" w:cs="Times New Roman"/>
          <w:b w:val="0"/>
          <w:sz w:val="21"/>
          <w:szCs w:val="22"/>
          <w:lang w:val="en-US" w:eastAsia="zh-CN"/>
        </w:rPr>
        <w:t>生态现状调查主要包括矿</w:t>
      </w:r>
      <w:r>
        <w:rPr>
          <w:rFonts w:hint="eastAsia" w:cs="Times New Roman"/>
          <w:b w:val="0"/>
          <w:sz w:val="21"/>
          <w:szCs w:val="22"/>
          <w:lang w:val="en-US" w:eastAsia="zh-CN"/>
        </w:rPr>
        <w:t>坑</w:t>
      </w:r>
      <w:r>
        <w:rPr>
          <w:rFonts w:hint="eastAsia" w:ascii="Times New Roman" w:hAnsi="Times New Roman" w:eastAsia="宋体" w:cs="Times New Roman"/>
          <w:b w:val="0"/>
          <w:sz w:val="21"/>
          <w:szCs w:val="22"/>
          <w:lang w:val="en-US" w:eastAsia="zh-CN"/>
        </w:rPr>
        <w:t>及其周边植被类型、群落结构、优势植物种类和常见植物种类，以及动物种群类型和数量</w:t>
      </w:r>
      <w:r>
        <w:rPr>
          <w:rFonts w:hint="eastAsia" w:cs="Times New Roman"/>
          <w:b w:val="0"/>
          <w:sz w:val="21"/>
          <w:szCs w:val="22"/>
          <w:lang w:val="en-US" w:eastAsia="zh-CN"/>
        </w:rPr>
        <w:t>等</w:t>
      </w:r>
      <w:r>
        <w:rPr>
          <w:rFonts w:hint="eastAsia" w:ascii="Times New Roman" w:hAnsi="Times New Roman" w:eastAsia="宋体" w:cs="Times New Roman"/>
          <w:b w:val="0"/>
          <w:sz w:val="21"/>
          <w:szCs w:val="22"/>
          <w:lang w:val="en-US" w:eastAsia="zh-CN"/>
        </w:rPr>
        <w:t>。</w:t>
      </w:r>
    </w:p>
    <w:p w14:paraId="11EB06F0">
      <w:pPr>
        <w:spacing w:line="360" w:lineRule="auto"/>
        <w:ind w:firstLine="0" w:firstLineChars="0"/>
        <w:rPr>
          <w:rFonts w:hint="default" w:cs="Times New Roman"/>
          <w:szCs w:val="21"/>
          <w:lang w:val="en-US" w:eastAsia="zh-CN"/>
        </w:rPr>
      </w:pPr>
      <w:r>
        <w:rPr>
          <w:rFonts w:hint="eastAsia" w:ascii="黑体" w:hAnsi="黑体" w:eastAsia="黑体" w:cs="Times New Roman"/>
          <w:color w:val="000000" w:themeColor="text1"/>
          <w:szCs w:val="21"/>
          <w:lang w:val="en-US" w:eastAsia="zh-CN"/>
          <w14:textFill>
            <w14:solidFill>
              <w14:schemeClr w14:val="tx1"/>
            </w14:solidFill>
          </w14:textFill>
        </w:rPr>
        <w:t>5.3环境质量调查</w:t>
      </w:r>
    </w:p>
    <w:p w14:paraId="375EEE9E">
      <w:pPr>
        <w:spacing w:line="360" w:lineRule="auto"/>
        <w:ind w:firstLine="0" w:firstLineChars="0"/>
        <w:rPr>
          <w:rFonts w:hint="default" w:ascii="Times New Roman" w:hAnsi="Times New Roman" w:cs="Times New Roman"/>
          <w:lang w:val="en-US" w:eastAsia="zh-CN"/>
        </w:rPr>
      </w:pPr>
      <w:r>
        <w:rPr>
          <w:rFonts w:hint="eastAsia" w:ascii="黑体" w:hAnsi="黑体" w:eastAsia="黑体" w:cs="Times New Roman"/>
          <w:b w:val="0"/>
          <w:color w:val="000000" w:themeColor="text1"/>
          <w:sz w:val="21"/>
          <w:szCs w:val="21"/>
          <w:lang w:val="en-US" w:eastAsia="zh-CN"/>
          <w14:textFill>
            <w14:solidFill>
              <w14:schemeClr w14:val="tx1"/>
            </w14:solidFill>
          </w14:textFill>
        </w:rPr>
        <w:t xml:space="preserve">5.3.1 </w:t>
      </w:r>
      <w:r>
        <w:rPr>
          <w:rFonts w:hint="default" w:ascii="Times New Roman" w:hAnsi="Times New Roman" w:cs="Times New Roman"/>
          <w:lang w:val="en-US" w:eastAsia="zh-CN"/>
        </w:rPr>
        <w:t>调查</w:t>
      </w:r>
      <w:r>
        <w:rPr>
          <w:rFonts w:hint="eastAsia" w:cs="Times New Roman"/>
          <w:lang w:val="en-US" w:eastAsia="zh-CN"/>
        </w:rPr>
        <w:t>地表</w:t>
      </w:r>
      <w:r>
        <w:rPr>
          <w:rFonts w:hint="default" w:ascii="Times New Roman" w:hAnsi="Times New Roman" w:cs="Times New Roman"/>
          <w:lang w:val="en-US" w:eastAsia="zh-CN"/>
        </w:rPr>
        <w:t>矿坑及周边区域范围内土壤、地表水及地下水的环境质量本底值</w:t>
      </w:r>
      <w:r>
        <w:rPr>
          <w:rFonts w:hint="eastAsia" w:cs="Times New Roman"/>
          <w:lang w:val="en-US" w:eastAsia="zh-CN"/>
        </w:rPr>
        <w:t>。</w:t>
      </w:r>
    </w:p>
    <w:p w14:paraId="669B0972">
      <w:pPr>
        <w:spacing w:line="360" w:lineRule="auto"/>
        <w:ind w:firstLine="0" w:firstLineChars="0"/>
        <w:rPr>
          <w:rFonts w:hint="default" w:cs="Times New Roman"/>
          <w:szCs w:val="21"/>
          <w:lang w:val="en-US" w:eastAsia="zh-CN"/>
        </w:rPr>
      </w:pPr>
      <w:r>
        <w:rPr>
          <w:rFonts w:hint="eastAsia" w:ascii="黑体" w:hAnsi="黑体" w:eastAsia="黑体" w:cs="Times New Roman"/>
          <w:b w:val="0"/>
          <w:color w:val="000000" w:themeColor="text1"/>
          <w:sz w:val="21"/>
          <w:szCs w:val="21"/>
          <w:lang w:val="en-US" w:eastAsia="zh-CN"/>
          <w14:textFill>
            <w14:solidFill>
              <w14:schemeClr w14:val="tx1"/>
            </w14:solidFill>
          </w14:textFill>
        </w:rPr>
        <w:t xml:space="preserve">5.3.2 </w:t>
      </w:r>
      <w:r>
        <w:rPr>
          <w:rFonts w:hint="default" w:ascii="Times New Roman" w:hAnsi="Times New Roman" w:eastAsia="宋体" w:cs="Times New Roman"/>
          <w:b w:val="0"/>
          <w:color w:val="auto"/>
          <w:sz w:val="21"/>
          <w:szCs w:val="22"/>
          <w:lang w:val="en-US" w:eastAsia="zh-CN"/>
        </w:rPr>
        <w:t>土壤质量本底值调查</w:t>
      </w:r>
      <w:r>
        <w:rPr>
          <w:rFonts w:hint="eastAsia" w:cs="Times New Roman"/>
          <w:b w:val="0"/>
          <w:sz w:val="21"/>
          <w:szCs w:val="22"/>
          <w:lang w:val="en-US" w:eastAsia="zh-CN"/>
        </w:rPr>
        <w:t>。</w:t>
      </w:r>
      <w:r>
        <w:rPr>
          <w:rFonts w:hint="default" w:ascii="Times New Roman" w:hAnsi="Times New Roman" w:eastAsia="宋体" w:cs="Times New Roman"/>
          <w:b w:val="0"/>
          <w:sz w:val="21"/>
          <w:szCs w:val="22"/>
          <w:lang w:val="en-US" w:eastAsia="zh-CN"/>
        </w:rPr>
        <w:t>根据</w:t>
      </w:r>
      <w:r>
        <w:rPr>
          <w:rFonts w:hint="eastAsia" w:cs="Times New Roman"/>
          <w:b w:val="0"/>
          <w:sz w:val="21"/>
          <w:szCs w:val="22"/>
          <w:lang w:val="en-US" w:eastAsia="zh-CN"/>
        </w:rPr>
        <w:t>地表矿坑</w:t>
      </w:r>
      <w:r>
        <w:rPr>
          <w:rFonts w:hint="default" w:ascii="Times New Roman" w:hAnsi="Times New Roman" w:eastAsia="宋体" w:cs="Times New Roman"/>
          <w:b w:val="0"/>
          <w:sz w:val="21"/>
          <w:szCs w:val="22"/>
          <w:lang w:val="en-US" w:eastAsia="zh-CN"/>
        </w:rPr>
        <w:t>周边地形特征、主导风向和地表径流方向设置采样点</w:t>
      </w:r>
      <w:r>
        <w:rPr>
          <w:rFonts w:hint="eastAsia" w:cs="Times New Roman"/>
          <w:b w:val="0"/>
          <w:sz w:val="21"/>
          <w:szCs w:val="22"/>
          <w:lang w:val="en-US" w:eastAsia="zh-CN"/>
        </w:rPr>
        <w:t>，且需遵循HJ/T 166中监测布点与采样要求；</w:t>
      </w:r>
      <w:r>
        <w:rPr>
          <w:rFonts w:hint="default" w:cs="Times New Roman"/>
          <w:szCs w:val="21"/>
          <w:lang w:val="en-US" w:eastAsia="zh-CN"/>
        </w:rPr>
        <w:t>监测指标涵盖</w:t>
      </w:r>
      <w:r>
        <w:rPr>
          <w:rFonts w:hint="eastAsia" w:cs="Times New Roman"/>
          <w:szCs w:val="21"/>
          <w:lang w:val="en-US" w:eastAsia="zh-CN"/>
        </w:rPr>
        <w:t>但不仅限于铍、铊、锰、氟等</w:t>
      </w:r>
      <w:r>
        <w:rPr>
          <w:rFonts w:hint="default" w:cs="Times New Roman"/>
          <w:szCs w:val="21"/>
          <w:lang w:val="en-US" w:eastAsia="zh-CN"/>
        </w:rPr>
        <w:t>特征因子</w:t>
      </w:r>
      <w:r>
        <w:rPr>
          <w:rFonts w:hint="eastAsia" w:cs="Times New Roman"/>
          <w:szCs w:val="21"/>
          <w:lang w:val="en-US" w:eastAsia="zh-CN"/>
        </w:rPr>
        <w:t>，参照HJ 1315、HJ 737和HJ 1080等标准执行分析。</w:t>
      </w:r>
    </w:p>
    <w:p w14:paraId="6312E8C7">
      <w:pPr>
        <w:spacing w:line="360" w:lineRule="auto"/>
        <w:ind w:firstLine="0" w:firstLineChars="0"/>
        <w:rPr>
          <w:rFonts w:hint="default" w:cs="Times New Roman"/>
          <w:szCs w:val="21"/>
          <w:lang w:val="en-US" w:eastAsia="zh-CN"/>
        </w:rPr>
      </w:pPr>
      <w:r>
        <w:rPr>
          <w:rFonts w:hint="eastAsia" w:ascii="黑体" w:hAnsi="黑体" w:eastAsia="黑体" w:cs="Times New Roman"/>
          <w:b w:val="0"/>
          <w:color w:val="000000" w:themeColor="text1"/>
          <w:sz w:val="21"/>
          <w:szCs w:val="21"/>
          <w:lang w:val="en-US" w:eastAsia="zh-CN"/>
          <w14:textFill>
            <w14:solidFill>
              <w14:schemeClr w14:val="tx1"/>
            </w14:solidFill>
          </w14:textFill>
        </w:rPr>
        <w:t xml:space="preserve">5.3.3 </w:t>
      </w:r>
      <w:r>
        <w:rPr>
          <w:rFonts w:hint="eastAsia" w:cs="Times New Roman"/>
          <w:lang w:val="en-US" w:eastAsia="zh-CN"/>
        </w:rPr>
        <w:t>地表水</w:t>
      </w:r>
      <w:r>
        <w:rPr>
          <w:rFonts w:hint="default" w:ascii="Times New Roman" w:hAnsi="Times New Roman" w:eastAsia="宋体" w:cs="Times New Roman"/>
          <w:b w:val="0"/>
          <w:sz w:val="21"/>
          <w:szCs w:val="22"/>
          <w:lang w:val="en-US" w:eastAsia="zh-CN"/>
        </w:rPr>
        <w:t>质量本底值调查</w:t>
      </w:r>
      <w:r>
        <w:rPr>
          <w:rFonts w:hint="eastAsia" w:cs="Times New Roman"/>
          <w:b w:val="0"/>
          <w:sz w:val="21"/>
          <w:szCs w:val="22"/>
          <w:lang w:val="en-US" w:eastAsia="zh-CN"/>
        </w:rPr>
        <w:t>。矿坑周边如有受影响的地表水，则遵循</w:t>
      </w:r>
      <w:r>
        <w:rPr>
          <w:rFonts w:hint="default" w:cs="Times New Roman"/>
          <w:szCs w:val="21"/>
          <w:lang w:val="en-US" w:eastAsia="zh-CN"/>
        </w:rPr>
        <w:t>HJ/T</w:t>
      </w:r>
      <w:r>
        <w:rPr>
          <w:rFonts w:hint="eastAsia" w:cs="Times New Roman"/>
          <w:szCs w:val="21"/>
          <w:lang w:val="en-US" w:eastAsia="zh-CN"/>
        </w:rPr>
        <w:t xml:space="preserve"> </w:t>
      </w:r>
      <w:r>
        <w:rPr>
          <w:rFonts w:hint="default" w:cs="Times New Roman"/>
          <w:szCs w:val="21"/>
          <w:lang w:val="en-US" w:eastAsia="zh-CN"/>
        </w:rPr>
        <w:t>91</w:t>
      </w:r>
      <w:r>
        <w:rPr>
          <w:rFonts w:hint="eastAsia" w:cs="Times New Roman"/>
          <w:b w:val="0"/>
          <w:sz w:val="21"/>
          <w:szCs w:val="22"/>
          <w:lang w:val="en-US" w:eastAsia="zh-CN"/>
        </w:rPr>
        <w:t>中监测布点与采样要求；</w:t>
      </w:r>
      <w:r>
        <w:rPr>
          <w:rFonts w:hint="default" w:cs="Times New Roman"/>
          <w:szCs w:val="21"/>
          <w:lang w:val="en-US" w:eastAsia="zh-CN"/>
        </w:rPr>
        <w:t>监测指标涵盖</w:t>
      </w:r>
      <w:r>
        <w:rPr>
          <w:rFonts w:hint="eastAsia" w:cs="Times New Roman"/>
          <w:szCs w:val="21"/>
          <w:lang w:val="en-US" w:eastAsia="zh-CN"/>
        </w:rPr>
        <w:t>但不仅限于铍、铊、锰、氟等</w:t>
      </w:r>
      <w:r>
        <w:rPr>
          <w:rFonts w:hint="default" w:cs="Times New Roman"/>
          <w:szCs w:val="21"/>
          <w:lang w:val="en-US" w:eastAsia="zh-CN"/>
        </w:rPr>
        <w:t>特征因子</w:t>
      </w:r>
      <w:r>
        <w:rPr>
          <w:rFonts w:hint="eastAsia" w:cs="Times New Roman"/>
          <w:szCs w:val="21"/>
          <w:lang w:val="en-US" w:eastAsia="zh-CN"/>
        </w:rPr>
        <w:t>，参照</w:t>
      </w:r>
      <w:r>
        <w:rPr>
          <w:rFonts w:hint="default" w:cs="Times New Roman"/>
          <w:szCs w:val="21"/>
          <w:lang w:val="en-US" w:eastAsia="zh-CN"/>
        </w:rPr>
        <w:t>GB 3838</w:t>
      </w:r>
      <w:r>
        <w:rPr>
          <w:rFonts w:hint="eastAsia" w:cs="Times New Roman"/>
          <w:szCs w:val="21"/>
          <w:lang w:val="en-US" w:eastAsia="zh-CN"/>
        </w:rPr>
        <w:t>标准执行分析。</w:t>
      </w:r>
    </w:p>
    <w:p w14:paraId="2DF474DA">
      <w:pPr>
        <w:spacing w:line="360" w:lineRule="auto"/>
        <w:ind w:firstLine="0" w:firstLineChars="0"/>
        <w:rPr>
          <w:rFonts w:hint="eastAsia" w:cs="Times New Roman"/>
          <w:szCs w:val="21"/>
          <w:lang w:val="en-US" w:eastAsia="zh-CN"/>
        </w:rPr>
      </w:pPr>
      <w:r>
        <w:rPr>
          <w:rFonts w:hint="eastAsia" w:ascii="黑体" w:hAnsi="黑体" w:eastAsia="黑体" w:cs="Times New Roman"/>
          <w:b w:val="0"/>
          <w:color w:val="000000" w:themeColor="text1"/>
          <w:sz w:val="21"/>
          <w:szCs w:val="21"/>
          <w:lang w:val="en-US" w:eastAsia="zh-CN"/>
          <w14:textFill>
            <w14:solidFill>
              <w14:schemeClr w14:val="tx1"/>
            </w14:solidFill>
          </w14:textFill>
        </w:rPr>
        <w:t xml:space="preserve">5.3.4 </w:t>
      </w:r>
      <w:r>
        <w:rPr>
          <w:rFonts w:hint="eastAsia" w:cs="Times New Roman"/>
          <w:lang w:val="en-US" w:eastAsia="zh-CN"/>
        </w:rPr>
        <w:t>地下水</w:t>
      </w:r>
      <w:r>
        <w:rPr>
          <w:rFonts w:hint="default" w:ascii="Times New Roman" w:hAnsi="Times New Roman" w:eastAsia="宋体" w:cs="Times New Roman"/>
          <w:b w:val="0"/>
          <w:sz w:val="21"/>
          <w:szCs w:val="22"/>
          <w:lang w:val="en-US" w:eastAsia="zh-CN"/>
        </w:rPr>
        <w:t>质量本底值调查</w:t>
      </w:r>
      <w:r>
        <w:rPr>
          <w:rFonts w:hint="eastAsia" w:cs="Times New Roman"/>
          <w:b w:val="0"/>
          <w:sz w:val="21"/>
          <w:szCs w:val="22"/>
          <w:lang w:val="en-US" w:eastAsia="zh-CN"/>
        </w:rPr>
        <w:t>。在矿坑区域</w:t>
      </w:r>
      <w:r>
        <w:rPr>
          <w:rFonts w:hint="eastAsia" w:cs="Times New Roman"/>
          <w:szCs w:val="21"/>
          <w:lang w:val="en-US" w:eastAsia="zh-CN"/>
        </w:rPr>
        <w:t>地下水流向上下游及周边设监测井，</w:t>
      </w:r>
      <w:r>
        <w:rPr>
          <w:rFonts w:hint="eastAsia" w:cs="Times New Roman"/>
          <w:b w:val="0"/>
          <w:sz w:val="21"/>
          <w:szCs w:val="22"/>
          <w:lang w:val="en-US" w:eastAsia="zh-CN"/>
        </w:rPr>
        <w:t>遵循</w:t>
      </w:r>
      <w:r>
        <w:rPr>
          <w:rFonts w:hint="default" w:cs="Times New Roman"/>
          <w:szCs w:val="21"/>
          <w:lang w:val="en-US" w:eastAsia="zh-CN"/>
        </w:rPr>
        <w:t>HJ</w:t>
      </w:r>
      <w:r>
        <w:rPr>
          <w:rFonts w:hint="eastAsia" w:cs="Times New Roman"/>
          <w:szCs w:val="21"/>
          <w:lang w:val="en-US" w:eastAsia="zh-CN"/>
        </w:rPr>
        <w:t xml:space="preserve"> 164</w:t>
      </w:r>
      <w:r>
        <w:rPr>
          <w:rFonts w:hint="eastAsia" w:cs="Times New Roman"/>
          <w:b w:val="0"/>
          <w:sz w:val="21"/>
          <w:szCs w:val="22"/>
          <w:lang w:val="en-US" w:eastAsia="zh-CN"/>
        </w:rPr>
        <w:t>中监测布点与采样要求；</w:t>
      </w:r>
      <w:r>
        <w:rPr>
          <w:rFonts w:hint="default" w:cs="Times New Roman"/>
          <w:szCs w:val="21"/>
          <w:lang w:val="en-US" w:eastAsia="zh-CN"/>
        </w:rPr>
        <w:t>监测指标涵盖</w:t>
      </w:r>
      <w:r>
        <w:rPr>
          <w:rFonts w:hint="eastAsia" w:cs="Times New Roman"/>
          <w:szCs w:val="21"/>
          <w:lang w:val="en-US" w:eastAsia="zh-CN"/>
        </w:rPr>
        <w:t>但不仅限于铍、铊、锰、氟等</w:t>
      </w:r>
      <w:r>
        <w:rPr>
          <w:rFonts w:hint="default" w:cs="Times New Roman"/>
          <w:szCs w:val="21"/>
          <w:lang w:val="en-US" w:eastAsia="zh-CN"/>
        </w:rPr>
        <w:t>特征因子</w:t>
      </w:r>
      <w:r>
        <w:rPr>
          <w:rFonts w:hint="eastAsia" w:cs="Times New Roman"/>
          <w:szCs w:val="21"/>
          <w:lang w:val="en-US" w:eastAsia="zh-CN"/>
        </w:rPr>
        <w:t>，参照</w:t>
      </w:r>
      <w:r>
        <w:rPr>
          <w:rFonts w:hint="default" w:cs="Times New Roman"/>
          <w:szCs w:val="21"/>
          <w:lang w:val="en-US" w:eastAsia="zh-CN"/>
        </w:rPr>
        <w:t>GB/T 14848</w:t>
      </w:r>
      <w:r>
        <w:rPr>
          <w:rFonts w:hint="eastAsia" w:cs="Times New Roman"/>
          <w:szCs w:val="21"/>
          <w:lang w:val="en-US" w:eastAsia="zh-CN"/>
        </w:rPr>
        <w:t>标准执行分析。</w:t>
      </w:r>
    </w:p>
    <w:p w14:paraId="3768017C">
      <w:pPr>
        <w:spacing w:line="360" w:lineRule="auto"/>
        <w:ind w:firstLine="0" w:firstLineChars="0"/>
        <w:rPr>
          <w:rFonts w:hint="default" w:cs="Times New Roman"/>
          <w:szCs w:val="21"/>
          <w:lang w:val="en-US" w:eastAsia="zh-CN"/>
        </w:rPr>
      </w:pPr>
      <w:r>
        <w:rPr>
          <w:rFonts w:hint="eastAsia" w:ascii="黑体" w:hAnsi="黑体" w:eastAsia="黑体" w:cs="Times New Roman"/>
          <w:color w:val="000000" w:themeColor="text1"/>
          <w:szCs w:val="21"/>
          <w:lang w:val="en-US" w:eastAsia="zh-CN"/>
          <w14:textFill>
            <w14:solidFill>
              <w14:schemeClr w14:val="tx1"/>
            </w14:solidFill>
          </w14:textFill>
        </w:rPr>
        <w:t>5.4环境风险评估</w:t>
      </w:r>
    </w:p>
    <w:p w14:paraId="4F279425">
      <w:pPr>
        <w:spacing w:line="360" w:lineRule="auto"/>
        <w:ind w:firstLine="420" w:firstLineChars="200"/>
        <w:rPr>
          <w:rFonts w:hint="default" w:cs="Times New Roman"/>
          <w:szCs w:val="21"/>
          <w:lang w:val="en-US" w:eastAsia="zh-CN"/>
        </w:rPr>
      </w:pPr>
      <w:r>
        <w:rPr>
          <w:rFonts w:hint="eastAsia" w:ascii="Times New Roman" w:hAnsi="Times New Roman" w:cs="Times New Roman"/>
          <w:lang w:val="en-US" w:eastAsia="zh-CN"/>
        </w:rPr>
        <w:t>结合</w:t>
      </w:r>
      <w:r>
        <w:rPr>
          <w:rFonts w:hint="eastAsia" w:cs="Times New Roman"/>
          <w:lang w:val="en-US" w:eastAsia="zh-CN"/>
        </w:rPr>
        <w:t>地表矿坑和</w:t>
      </w:r>
      <w:r>
        <w:rPr>
          <w:rFonts w:hint="eastAsia" w:ascii="Times New Roman" w:hAnsi="Times New Roman" w:cs="Times New Roman"/>
          <w:lang w:val="en-US" w:eastAsia="zh-CN"/>
        </w:rPr>
        <w:t>环境</w:t>
      </w:r>
      <w:r>
        <w:rPr>
          <w:rFonts w:hint="eastAsia" w:cs="Times New Roman"/>
          <w:lang w:val="en-US" w:eastAsia="zh-CN"/>
        </w:rPr>
        <w:t>质量本</w:t>
      </w:r>
      <w:r>
        <w:rPr>
          <w:rFonts w:hint="default" w:cs="Times New Roman"/>
          <w:szCs w:val="21"/>
          <w:lang w:val="en-US" w:eastAsia="zh-CN"/>
        </w:rPr>
        <w:t>底</w:t>
      </w:r>
      <w:r>
        <w:rPr>
          <w:rFonts w:hint="eastAsia" w:ascii="Times New Roman" w:hAnsi="Times New Roman" w:cs="Times New Roman"/>
          <w:lang w:val="en-US" w:eastAsia="zh-CN"/>
        </w:rPr>
        <w:t>调查结果、生态恢复后土地利用性质、规划用途等，按照HJ</w:t>
      </w:r>
      <w:r>
        <w:rPr>
          <w:rFonts w:hint="eastAsia" w:cs="Times New Roman"/>
          <w:lang w:val="en-US" w:eastAsia="zh-CN"/>
        </w:rPr>
        <w:t xml:space="preserve"> </w:t>
      </w:r>
      <w:r>
        <w:rPr>
          <w:rFonts w:hint="eastAsia" w:ascii="Times New Roman" w:hAnsi="Times New Roman" w:cs="Times New Roman"/>
          <w:lang w:val="en-US" w:eastAsia="zh-CN"/>
        </w:rPr>
        <w:t>25.3等相关标准进行环境风险评估，重点评估地下水及周边土壤的环境风险。如果评估结果显示环境风险在可接受范围内，则该区域可作为锂渣回填的适宜区。</w:t>
      </w:r>
    </w:p>
    <w:p w14:paraId="33CB7621">
      <w:pPr>
        <w:numPr>
          <w:ilvl w:val="0"/>
          <w:numId w:val="2"/>
        </w:numPr>
        <w:spacing w:before="0" w:line="720" w:lineRule="auto"/>
        <w:ind w:left="0"/>
        <w:outlineLvl w:val="0"/>
        <w:rPr>
          <w:rFonts w:hint="default" w:ascii="黑体" w:hAnsi="黑体" w:eastAsia="黑体" w:cs="Times New Roman"/>
          <w:color w:val="000000" w:themeColor="text1"/>
          <w:lang w:val="en-US" w:eastAsia="zh-CN"/>
          <w14:textFill>
            <w14:solidFill>
              <w14:schemeClr w14:val="tx1"/>
            </w14:solidFill>
          </w14:textFill>
        </w:rPr>
      </w:pPr>
      <w:bookmarkStart w:id="33" w:name="_Toc26461"/>
      <w:bookmarkStart w:id="34" w:name="_Toc15716"/>
      <w:bookmarkStart w:id="35" w:name="_Toc29255"/>
      <w:r>
        <w:rPr>
          <w:rFonts w:hint="eastAsia" w:ascii="黑体" w:hAnsi="黑体" w:eastAsia="黑体" w:cs="Times New Roman"/>
          <w:color w:val="000000" w:themeColor="text1"/>
          <w:lang w:val="en-US" w:eastAsia="zh-CN"/>
          <w14:textFill>
            <w14:solidFill>
              <w14:schemeClr w14:val="tx1"/>
            </w14:solidFill>
          </w14:textFill>
        </w:rPr>
        <w:t>锂渣回填材料要求</w:t>
      </w:r>
      <w:bookmarkEnd w:id="33"/>
      <w:bookmarkEnd w:id="34"/>
      <w:bookmarkEnd w:id="35"/>
    </w:p>
    <w:p w14:paraId="409A18CB">
      <w:pPr>
        <w:spacing w:line="360" w:lineRule="auto"/>
        <w:ind w:firstLine="0" w:firstLineChars="0"/>
        <w:rPr>
          <w:rFonts w:hint="eastAsia" w:ascii="黑体" w:hAnsi="黑体" w:eastAsia="黑体" w:cs="Times New Roman"/>
          <w:color w:val="000000" w:themeColor="text1"/>
          <w:szCs w:val="21"/>
          <w:lang w:val="en-US" w:eastAsia="zh-CN"/>
          <w14:textFill>
            <w14:solidFill>
              <w14:schemeClr w14:val="tx1"/>
            </w14:solidFill>
          </w14:textFill>
        </w:rPr>
      </w:pPr>
      <w:r>
        <w:rPr>
          <w:rFonts w:hint="eastAsia" w:ascii="黑体" w:hAnsi="黑体" w:eastAsia="黑体" w:cs="Times New Roman"/>
          <w:color w:val="000000" w:themeColor="text1"/>
          <w:szCs w:val="21"/>
          <w:lang w:val="en-US" w:eastAsia="zh-CN"/>
          <w14:textFill>
            <w14:solidFill>
              <w14:schemeClr w14:val="tx1"/>
            </w14:solidFill>
          </w14:textFill>
        </w:rPr>
        <w:t>6.1锂渣要求</w:t>
      </w:r>
    </w:p>
    <w:p w14:paraId="6358B541">
      <w:pPr>
        <w:spacing w:line="360" w:lineRule="auto"/>
        <w:ind w:firstLine="0" w:firstLineChars="0"/>
        <w:rPr>
          <w:rFonts w:hint="eastAsia" w:cs="Times New Roman"/>
          <w:szCs w:val="21"/>
          <w:lang w:val="en-US" w:eastAsia="zh-CN"/>
        </w:rPr>
      </w:pPr>
      <w:r>
        <w:rPr>
          <w:rFonts w:hint="eastAsia" w:ascii="黑体" w:hAnsi="黑体" w:eastAsia="黑体" w:cs="Times New Roman"/>
          <w:color w:val="000000" w:themeColor="text1"/>
          <w:szCs w:val="21"/>
          <w:lang w:val="en-US" w:eastAsia="zh-CN"/>
          <w14:textFill>
            <w14:solidFill>
              <w14:schemeClr w14:val="tx1"/>
            </w14:solidFill>
          </w14:textFill>
        </w:rPr>
        <w:t xml:space="preserve">6.1.1 </w:t>
      </w:r>
      <w:r>
        <w:rPr>
          <w:rFonts w:hint="eastAsia" w:ascii="Times New Roman" w:hAnsi="Times New Roman" w:eastAsia="宋体" w:cs="Times New Roman"/>
          <w:color w:val="auto"/>
          <w:szCs w:val="21"/>
          <w:lang w:val="en-US" w:eastAsia="zh-CN"/>
        </w:rPr>
        <w:t>对</w:t>
      </w:r>
      <w:r>
        <w:rPr>
          <w:rFonts w:hint="eastAsia" w:cs="Times New Roman"/>
          <w:szCs w:val="21"/>
          <w:lang w:val="en-US" w:eastAsia="zh-CN"/>
        </w:rPr>
        <w:t>锂渣贮存场采用网格法采样，深度应达贮存场堆底。</w:t>
      </w:r>
    </w:p>
    <w:p w14:paraId="4CFFBB1D">
      <w:pPr>
        <w:spacing w:line="360" w:lineRule="auto"/>
        <w:ind w:firstLine="0" w:firstLineChars="0"/>
        <w:rPr>
          <w:rFonts w:hint="default" w:cs="Times New Roman"/>
          <w:szCs w:val="21"/>
          <w:lang w:val="en-US" w:eastAsia="zh-CN"/>
        </w:rPr>
      </w:pPr>
      <w:r>
        <w:rPr>
          <w:rFonts w:hint="eastAsia" w:ascii="黑体" w:hAnsi="黑体" w:eastAsia="黑体" w:cs="Times New Roman"/>
          <w:color w:val="000000" w:themeColor="text1"/>
          <w:szCs w:val="21"/>
          <w:lang w:val="en-US" w:eastAsia="zh-CN"/>
          <w14:textFill>
            <w14:solidFill>
              <w14:schemeClr w14:val="tx1"/>
            </w14:solidFill>
          </w14:textFill>
        </w:rPr>
        <w:t xml:space="preserve">6.1.2 </w:t>
      </w:r>
      <w:r>
        <w:rPr>
          <w:rFonts w:hint="eastAsia" w:cs="Times New Roman"/>
          <w:szCs w:val="21"/>
          <w:lang w:val="en-US" w:eastAsia="zh-CN"/>
        </w:rPr>
        <w:t>参照HJ 557标准获取浸出液，参照GB 5085.7标准中的方法测定锂渣特征污染物浓度、pH值等物理化学指标。</w:t>
      </w:r>
    </w:p>
    <w:p w14:paraId="527E0C93">
      <w:pPr>
        <w:spacing w:line="360" w:lineRule="auto"/>
        <w:ind w:firstLine="0" w:firstLineChars="0"/>
        <w:rPr>
          <w:rFonts w:hint="eastAsia" w:cs="Times New Roman"/>
          <w:szCs w:val="21"/>
          <w:lang w:val="en-US" w:eastAsia="zh-CN"/>
        </w:rPr>
      </w:pPr>
      <w:r>
        <w:rPr>
          <w:rFonts w:hint="eastAsia" w:ascii="黑体" w:hAnsi="黑体" w:eastAsia="黑体" w:cs="Times New Roman"/>
          <w:color w:val="000000" w:themeColor="text1"/>
          <w:szCs w:val="21"/>
          <w:lang w:val="en-US" w:eastAsia="zh-CN"/>
          <w14:textFill>
            <w14:solidFill>
              <w14:schemeClr w14:val="tx1"/>
            </w14:solidFill>
          </w14:textFill>
        </w:rPr>
        <w:t xml:space="preserve">6.1.3 </w:t>
      </w:r>
      <w:r>
        <w:rPr>
          <w:rFonts w:hint="eastAsia" w:cs="Times New Roman"/>
          <w:szCs w:val="21"/>
          <w:lang w:val="en-US" w:eastAsia="zh-CN"/>
        </w:rPr>
        <w:t>锂渣的浸出液特征污染物浓度应满足GB 18599标准的相关要求且pH值在6-9范围之内，属于一般工业固体废物。</w:t>
      </w:r>
    </w:p>
    <w:p w14:paraId="69D75491">
      <w:pPr>
        <w:spacing w:line="360" w:lineRule="auto"/>
        <w:ind w:firstLine="0" w:firstLineChars="0"/>
        <w:rPr>
          <w:rFonts w:hint="eastAsia" w:ascii="黑体" w:hAnsi="黑体" w:eastAsia="黑体" w:cs="Times New Roman"/>
          <w:color w:val="000000" w:themeColor="text1"/>
          <w:szCs w:val="21"/>
          <w:lang w:val="en-US" w:eastAsia="zh-CN"/>
          <w14:textFill>
            <w14:solidFill>
              <w14:schemeClr w14:val="tx1"/>
            </w14:solidFill>
          </w14:textFill>
        </w:rPr>
      </w:pPr>
      <w:r>
        <w:rPr>
          <w:rFonts w:hint="eastAsia" w:ascii="黑体" w:hAnsi="黑体" w:eastAsia="黑体" w:cs="Times New Roman"/>
          <w:color w:val="000000" w:themeColor="text1"/>
          <w:szCs w:val="21"/>
          <w:lang w:val="en-US" w:eastAsia="zh-CN"/>
          <w14:textFill>
            <w14:solidFill>
              <w14:schemeClr w14:val="tx1"/>
            </w14:solidFill>
          </w14:textFill>
        </w:rPr>
        <w:t>6.2改性锂渣要求</w:t>
      </w:r>
    </w:p>
    <w:p w14:paraId="58CF4229">
      <w:pPr>
        <w:spacing w:line="360" w:lineRule="auto"/>
        <w:ind w:firstLine="0" w:firstLineChars="0"/>
        <w:rPr>
          <w:rFonts w:hint="eastAsia" w:cs="Times New Roman"/>
          <w:szCs w:val="21"/>
          <w:lang w:val="en-US" w:eastAsia="zh-CN"/>
        </w:rPr>
      </w:pPr>
      <w:r>
        <w:rPr>
          <w:rFonts w:hint="eastAsia" w:ascii="黑体" w:hAnsi="黑体" w:eastAsia="黑体" w:cs="Times New Roman"/>
          <w:color w:val="000000" w:themeColor="text1"/>
          <w:szCs w:val="21"/>
          <w:lang w:val="en-US" w:eastAsia="zh-CN"/>
          <w14:textFill>
            <w14:solidFill>
              <w14:schemeClr w14:val="tx1"/>
            </w14:solidFill>
          </w14:textFill>
        </w:rPr>
        <w:t xml:space="preserve">6.2.1 </w:t>
      </w:r>
      <w:r>
        <w:rPr>
          <w:rFonts w:hint="eastAsia" w:cs="Times New Roman"/>
          <w:szCs w:val="21"/>
          <w:lang w:val="en-US" w:eastAsia="zh-CN"/>
        </w:rPr>
        <w:t>属于一般工业固体废物的锂渣应经改性处理，使其物理性能满足回填施工要求。</w:t>
      </w:r>
    </w:p>
    <w:p w14:paraId="67609F37">
      <w:pPr>
        <w:spacing w:line="360" w:lineRule="auto"/>
        <w:ind w:firstLine="0" w:firstLineChars="0"/>
        <w:rPr>
          <w:rFonts w:hint="eastAsia" w:cs="Times New Roman"/>
          <w:szCs w:val="21"/>
          <w:lang w:val="en-US" w:eastAsia="zh-CN"/>
        </w:rPr>
      </w:pPr>
      <w:r>
        <w:rPr>
          <w:rFonts w:hint="eastAsia" w:ascii="黑体" w:hAnsi="黑体" w:eastAsia="黑体" w:cs="Times New Roman"/>
          <w:color w:val="000000" w:themeColor="text1"/>
          <w:szCs w:val="21"/>
          <w:lang w:val="en-US" w:eastAsia="zh-CN"/>
          <w14:textFill>
            <w14:solidFill>
              <w14:schemeClr w14:val="tx1"/>
            </w14:solidFill>
          </w14:textFill>
        </w:rPr>
        <w:t xml:space="preserve">6.2.2 </w:t>
      </w:r>
      <w:r>
        <w:rPr>
          <w:rFonts w:hint="eastAsia" w:ascii="Times New Roman" w:hAnsi="Times New Roman" w:eastAsia="宋体" w:cs="Times New Roman"/>
          <w:color w:val="auto"/>
          <w:szCs w:val="21"/>
          <w:lang w:val="en-US" w:eastAsia="zh-CN"/>
        </w:rPr>
        <w:t>对锂渣和辅助材料进行干燥</w:t>
      </w:r>
      <w:r>
        <w:rPr>
          <w:rFonts w:hint="eastAsia" w:cs="Times New Roman"/>
          <w:szCs w:val="21"/>
          <w:lang w:val="en-US" w:eastAsia="zh-CN"/>
        </w:rPr>
        <w:t>处理</w:t>
      </w:r>
      <w:r>
        <w:rPr>
          <w:rFonts w:hint="eastAsia" w:ascii="Times New Roman" w:hAnsi="Times New Roman" w:eastAsia="宋体" w:cs="Times New Roman"/>
          <w:color w:val="auto"/>
          <w:szCs w:val="21"/>
          <w:lang w:val="en-US" w:eastAsia="zh-CN"/>
        </w:rPr>
        <w:t>，并粉碎至通过</w:t>
      </w:r>
      <w:r>
        <w:rPr>
          <w:rFonts w:hint="eastAsia" w:cs="Times New Roman"/>
          <w:szCs w:val="21"/>
          <w:lang w:val="en-US" w:eastAsia="zh-CN"/>
        </w:rPr>
        <w:t>2 mm</w:t>
      </w:r>
      <w:r>
        <w:rPr>
          <w:rFonts w:hint="eastAsia" w:ascii="Times New Roman" w:hAnsi="Times New Roman" w:eastAsia="宋体" w:cs="Times New Roman"/>
          <w:color w:val="auto"/>
          <w:szCs w:val="21"/>
          <w:lang w:val="en-US" w:eastAsia="zh-CN"/>
        </w:rPr>
        <w:t>筛。</w:t>
      </w:r>
    </w:p>
    <w:p w14:paraId="1CFBBD43">
      <w:pPr>
        <w:spacing w:line="360" w:lineRule="auto"/>
        <w:ind w:firstLine="0" w:firstLineChars="0"/>
        <w:rPr>
          <w:rFonts w:hint="default" w:cs="Times New Roman"/>
          <w:szCs w:val="21"/>
          <w:lang w:val="en-US" w:eastAsia="zh-CN"/>
        </w:rPr>
      </w:pPr>
      <w:r>
        <w:rPr>
          <w:rFonts w:hint="eastAsia" w:ascii="黑体" w:hAnsi="黑体" w:eastAsia="黑体" w:cs="Times New Roman"/>
          <w:color w:val="000000" w:themeColor="text1"/>
          <w:szCs w:val="21"/>
          <w:lang w:val="en-US" w:eastAsia="zh-CN"/>
          <w14:textFill>
            <w14:solidFill>
              <w14:schemeClr w14:val="tx1"/>
            </w14:solidFill>
          </w14:textFill>
        </w:rPr>
        <w:t xml:space="preserve">6.2.3 </w:t>
      </w:r>
      <w:r>
        <w:rPr>
          <w:rFonts w:hint="eastAsia" w:ascii="Times New Roman" w:hAnsi="Times New Roman" w:eastAsia="宋体" w:cs="Times New Roman"/>
          <w:color w:val="auto"/>
          <w:szCs w:val="21"/>
          <w:lang w:val="en-US" w:eastAsia="zh-CN"/>
        </w:rPr>
        <w:t>根据改性目标，优化锂渣的组分设计，确保锂渣占比30%至50%。辅以水泥、粉煤灰等固化剂，以及膨润土、生物炭和激发剂等功能性添加剂，提升材料综合性能。</w:t>
      </w:r>
    </w:p>
    <w:p w14:paraId="6A83B4DE">
      <w:pPr>
        <w:spacing w:line="360" w:lineRule="auto"/>
        <w:ind w:firstLine="0" w:firstLineChars="0"/>
        <w:rPr>
          <w:rFonts w:hint="eastAsia" w:ascii="Times New Roman" w:hAnsi="Times New Roman" w:eastAsia="宋体" w:cs="Times New Roman"/>
          <w:szCs w:val="21"/>
          <w:lang w:val="en-US" w:eastAsia="zh-CN"/>
        </w:rPr>
      </w:pPr>
      <w:r>
        <w:rPr>
          <w:rFonts w:hint="eastAsia" w:ascii="黑体" w:hAnsi="黑体" w:eastAsia="黑体" w:cs="Times New Roman"/>
          <w:color w:val="000000" w:themeColor="text1"/>
          <w:szCs w:val="21"/>
          <w:lang w:val="en-US" w:eastAsia="zh-CN"/>
          <w14:textFill>
            <w14:solidFill>
              <w14:schemeClr w14:val="tx1"/>
            </w14:solidFill>
          </w14:textFill>
        </w:rPr>
        <w:t>6.2.4</w:t>
      </w:r>
      <w:r>
        <w:rPr>
          <w:rFonts w:hint="eastAsia" w:ascii="Times New Roman" w:hAnsi="Times New Roman" w:eastAsia="宋体" w:cs="Times New Roman"/>
          <w:color w:val="auto"/>
          <w:szCs w:val="21"/>
          <w:lang w:val="en-US" w:eastAsia="zh-CN"/>
        </w:rPr>
        <w:t xml:space="preserve"> </w:t>
      </w:r>
      <w:r>
        <w:rPr>
          <w:rFonts w:hint="eastAsia" w:ascii="Times New Roman" w:hAnsi="Times New Roman" w:eastAsia="宋体" w:cs="Times New Roman"/>
          <w:szCs w:val="21"/>
          <w:lang w:val="en-US" w:eastAsia="zh-CN"/>
        </w:rPr>
        <w:t>改性后的锂渣应具备良好的化学稳定性，能够满足特定场景下的力学性能要求，</w:t>
      </w:r>
      <w:r>
        <w:rPr>
          <w:rFonts w:hint="eastAsia" w:cs="Times New Roman"/>
          <w:szCs w:val="21"/>
          <w:lang w:val="en-US" w:eastAsia="zh-CN"/>
        </w:rPr>
        <w:t>其</w:t>
      </w:r>
      <w:r>
        <w:rPr>
          <w:rFonts w:hint="eastAsia" w:ascii="Times New Roman" w:hAnsi="Times New Roman" w:eastAsia="宋体" w:cs="Times New Roman"/>
          <w:szCs w:val="21"/>
          <w:lang w:val="en-US" w:eastAsia="zh-CN"/>
        </w:rPr>
        <w:t>抗压强度需达到0.55 MPa，且渗透系数应控制在</w:t>
      </w:r>
      <w:r>
        <w:rPr>
          <w:rFonts w:hint="eastAsia" w:ascii="Times New Roman" w:hAnsi="Times New Roman" w:cs="Times New Roman"/>
          <w:szCs w:val="21"/>
          <w:lang w:val="en-US" w:eastAsia="zh-CN"/>
        </w:rPr>
        <w:t>小于</w:t>
      </w:r>
      <w:r>
        <w:rPr>
          <w:rFonts w:hint="eastAsia" w:cs="Times New Roman"/>
          <w:lang w:val="en-US" w:eastAsia="zh-CN"/>
        </w:rPr>
        <w:t>1×10</w:t>
      </w:r>
      <w:r>
        <w:rPr>
          <w:rFonts w:hint="eastAsia" w:cs="Times New Roman"/>
          <w:vertAlign w:val="superscript"/>
          <w:lang w:val="en-US" w:eastAsia="zh-CN"/>
        </w:rPr>
        <w:t>-6</w:t>
      </w:r>
      <w:r>
        <w:rPr>
          <w:rFonts w:hint="eastAsia" w:cs="Times New Roman"/>
          <w:lang w:val="en-US" w:eastAsia="zh-CN"/>
        </w:rPr>
        <w:t xml:space="preserve"> cm/s</w:t>
      </w:r>
      <w:r>
        <w:rPr>
          <w:rFonts w:hint="eastAsia" w:ascii="Times New Roman" w:hAnsi="Times New Roman" w:eastAsia="宋体" w:cs="Times New Roman"/>
          <w:szCs w:val="21"/>
          <w:lang w:val="en-US" w:eastAsia="zh-CN"/>
        </w:rPr>
        <w:t>。</w:t>
      </w:r>
    </w:p>
    <w:p w14:paraId="69824777">
      <w:pPr>
        <w:spacing w:before="0" w:after="0" w:line="360" w:lineRule="auto"/>
        <w:rPr>
          <w:rFonts w:hint="eastAsia" w:cs="Times New Roman"/>
          <w:szCs w:val="21"/>
          <w:lang w:val="en-US" w:eastAsia="zh-CN"/>
        </w:rPr>
      </w:pPr>
      <w:r>
        <w:rPr>
          <w:rFonts w:hint="eastAsia" w:ascii="黑体" w:hAnsi="黑体" w:eastAsia="黑体" w:cs="Times New Roman"/>
          <w:color w:val="000000" w:themeColor="text1"/>
          <w:szCs w:val="21"/>
          <w:lang w:val="en-US" w:eastAsia="zh-CN"/>
          <w14:textFill>
            <w14:solidFill>
              <w14:schemeClr w14:val="tx1"/>
            </w14:solidFill>
          </w14:textFill>
        </w:rPr>
        <w:t>6.2.5</w:t>
      </w:r>
      <w:r>
        <w:rPr>
          <w:rFonts w:hint="eastAsia" w:ascii="Times New Roman" w:hAnsi="Times New Roman" w:eastAsia="宋体" w:cs="Times New Roman"/>
          <w:szCs w:val="21"/>
          <w:lang w:val="en-US" w:eastAsia="zh-CN"/>
        </w:rPr>
        <w:t xml:space="preserve"> </w:t>
      </w:r>
      <w:r>
        <w:rPr>
          <w:rFonts w:hint="eastAsia" w:cs="Times New Roman"/>
          <w:szCs w:val="21"/>
          <w:lang w:val="en-US" w:eastAsia="zh-CN"/>
        </w:rPr>
        <w:t>改性后的锂渣应进行浸出试验，参照HJ 557标准获取浸出液，其</w:t>
      </w:r>
      <w:r>
        <w:rPr>
          <w:rFonts w:ascii="宋体" w:hAnsi="宋体" w:eastAsia="宋体" w:cs="宋体"/>
          <w:b w:val="0"/>
          <w:bCs w:val="0"/>
          <w:color w:val="000000"/>
          <w:sz w:val="21"/>
          <w:szCs w:val="21"/>
        </w:rPr>
        <w:t>铍、铊、氟、锰等特征污染物</w:t>
      </w:r>
      <w:r>
        <w:rPr>
          <w:rFonts w:hint="eastAsia" w:cs="Times New Roman"/>
          <w:szCs w:val="21"/>
          <w:lang w:val="en-US" w:eastAsia="zh-CN"/>
        </w:rPr>
        <w:t>参照GB 5085.7标准中的方法检测且必须满足附录A中表1中列出的相关要求。</w:t>
      </w:r>
    </w:p>
    <w:p w14:paraId="3D7F3039">
      <w:pPr>
        <w:numPr>
          <w:ilvl w:val="0"/>
          <w:numId w:val="2"/>
        </w:numPr>
        <w:spacing w:before="0" w:line="720" w:lineRule="auto"/>
        <w:ind w:left="0"/>
        <w:outlineLvl w:val="0"/>
        <w:rPr>
          <w:rFonts w:hint="default" w:ascii="黑体" w:hAnsi="黑体" w:eastAsia="黑体" w:cs="Times New Roman"/>
          <w:color w:val="000000" w:themeColor="text1"/>
          <w:lang w:val="en-US" w:eastAsia="zh-CN"/>
          <w14:textFill>
            <w14:solidFill>
              <w14:schemeClr w14:val="tx1"/>
            </w14:solidFill>
          </w14:textFill>
        </w:rPr>
      </w:pPr>
      <w:bookmarkStart w:id="36" w:name="_Toc28564"/>
      <w:bookmarkStart w:id="37" w:name="_Toc19449"/>
      <w:bookmarkStart w:id="38" w:name="_Toc24021"/>
      <w:r>
        <w:rPr>
          <w:rFonts w:hint="eastAsia" w:ascii="黑体" w:hAnsi="黑体" w:eastAsia="黑体" w:cs="Times New Roman"/>
          <w:color w:val="000000" w:themeColor="text1"/>
          <w:lang w:val="en-US" w:eastAsia="zh-CN"/>
          <w14:textFill>
            <w14:solidFill>
              <w14:schemeClr w14:val="tx1"/>
            </w14:solidFill>
          </w14:textFill>
        </w:rPr>
        <w:t>矿坑</w:t>
      </w:r>
      <w:r>
        <w:rPr>
          <w:rFonts w:hint="default" w:ascii="黑体" w:hAnsi="黑体" w:eastAsia="黑体" w:cs="Times New Roman"/>
          <w:color w:val="000000" w:themeColor="text1"/>
          <w:lang w:val="en-US" w:eastAsia="zh-CN"/>
          <w14:textFill>
            <w14:solidFill>
              <w14:schemeClr w14:val="tx1"/>
            </w14:solidFill>
          </w14:textFill>
        </w:rPr>
        <w:t>回填</w:t>
      </w:r>
      <w:r>
        <w:rPr>
          <w:rFonts w:hint="eastAsia" w:ascii="黑体" w:hAnsi="黑体" w:eastAsia="黑体" w:cs="Times New Roman"/>
          <w:color w:val="000000" w:themeColor="text1"/>
          <w:lang w:val="en-US" w:eastAsia="zh-CN"/>
          <w14:textFill>
            <w14:solidFill>
              <w14:schemeClr w14:val="tx1"/>
            </w14:solidFill>
          </w14:textFill>
        </w:rPr>
        <w:t>要求</w:t>
      </w:r>
      <w:bookmarkEnd w:id="36"/>
    </w:p>
    <w:p w14:paraId="716327C3">
      <w:pPr>
        <w:spacing w:before="0" w:after="0" w:line="480" w:lineRule="auto"/>
        <w:rPr>
          <w:rFonts w:hint="default" w:ascii="黑体" w:hAnsi="黑体" w:eastAsia="黑体" w:cs="Times New Roman"/>
          <w:b w:val="0"/>
          <w:color w:val="000000" w:themeColor="text1"/>
          <w:sz w:val="21"/>
          <w:szCs w:val="21"/>
          <w:lang w:val="en-US" w:eastAsia="zh-CN"/>
          <w14:textFill>
            <w14:solidFill>
              <w14:schemeClr w14:val="tx1"/>
            </w14:solidFill>
          </w14:textFill>
        </w:rPr>
      </w:pPr>
      <w:r>
        <w:rPr>
          <w:rFonts w:hint="eastAsia" w:ascii="黑体" w:hAnsi="黑体" w:eastAsia="黑体" w:cs="Times New Roman"/>
          <w:b w:val="0"/>
          <w:color w:val="000000" w:themeColor="text1"/>
          <w:sz w:val="21"/>
          <w:szCs w:val="21"/>
          <w:lang w:val="en-US" w:eastAsia="zh-CN"/>
          <w14:textFill>
            <w14:solidFill>
              <w14:schemeClr w14:val="tx1"/>
            </w14:solidFill>
          </w14:textFill>
        </w:rPr>
        <w:t>7.1</w:t>
      </w:r>
      <w:r>
        <w:rPr>
          <w:rFonts w:hint="default" w:ascii="黑体" w:hAnsi="黑体" w:eastAsia="黑体" w:cs="Times New Roman"/>
          <w:b w:val="0"/>
          <w:color w:val="000000" w:themeColor="text1"/>
          <w:sz w:val="21"/>
          <w:szCs w:val="21"/>
          <w:lang w:val="en-US" w:eastAsia="zh-CN"/>
          <w14:textFill>
            <w14:solidFill>
              <w14:schemeClr w14:val="tx1"/>
            </w14:solidFill>
          </w14:textFill>
        </w:rPr>
        <w:t>一般要求</w:t>
      </w:r>
    </w:p>
    <w:p w14:paraId="09A24BED">
      <w:pPr>
        <w:spacing w:line="360" w:lineRule="auto"/>
        <w:ind w:firstLine="0" w:firstLineChars="0"/>
        <w:rPr>
          <w:rFonts w:hint="eastAsia" w:cs="Times New Roman"/>
          <w:szCs w:val="21"/>
          <w:lang w:val="en-US" w:eastAsia="zh-CN"/>
        </w:rPr>
      </w:pPr>
      <w:r>
        <w:rPr>
          <w:rFonts w:hint="eastAsia" w:ascii="黑体" w:hAnsi="黑体" w:eastAsia="黑体" w:cs="Times New Roman"/>
          <w:color w:val="000000" w:themeColor="text1"/>
          <w:szCs w:val="21"/>
          <w:lang w:val="en-US" w:eastAsia="zh-CN"/>
          <w14:textFill>
            <w14:solidFill>
              <w14:schemeClr w14:val="tx1"/>
            </w14:solidFill>
          </w14:textFill>
        </w:rPr>
        <w:t xml:space="preserve">7.1.1 </w:t>
      </w:r>
      <w:r>
        <w:rPr>
          <w:rFonts w:hint="eastAsia" w:ascii="Times New Roman" w:hAnsi="Times New Roman" w:eastAsia="宋体" w:cs="Times New Roman"/>
          <w:szCs w:val="21"/>
          <w:lang w:val="en-US" w:eastAsia="zh-CN"/>
        </w:rPr>
        <w:t>回填作业前需制定详细的施工方案，包括质量保证、污染物控制和环境保护条款</w:t>
      </w:r>
      <w:r>
        <w:rPr>
          <w:rFonts w:hint="eastAsia" w:cs="Times New Roman"/>
          <w:szCs w:val="21"/>
          <w:lang w:val="en-US" w:eastAsia="zh-CN"/>
        </w:rPr>
        <w:t>以及应急措施等。</w:t>
      </w:r>
    </w:p>
    <w:p w14:paraId="22C55D3A">
      <w:pPr>
        <w:spacing w:line="360" w:lineRule="auto"/>
        <w:ind w:firstLine="0" w:firstLineChars="0"/>
        <w:rPr>
          <w:rFonts w:hint="eastAsia" w:ascii="Times New Roman" w:hAnsi="Times New Roman" w:eastAsia="宋体" w:cs="Times New Roman"/>
          <w:szCs w:val="21"/>
          <w:lang w:val="en-US" w:eastAsia="zh-CN"/>
        </w:rPr>
      </w:pPr>
      <w:r>
        <w:rPr>
          <w:rFonts w:hint="eastAsia" w:ascii="黑体" w:hAnsi="黑体" w:eastAsia="黑体" w:cs="Times New Roman"/>
          <w:color w:val="000000" w:themeColor="text1"/>
          <w:szCs w:val="21"/>
          <w:lang w:val="en-US" w:eastAsia="zh-CN"/>
          <w14:textFill>
            <w14:solidFill>
              <w14:schemeClr w14:val="tx1"/>
            </w14:solidFill>
          </w14:textFill>
        </w:rPr>
        <w:t xml:space="preserve">7.1.2 </w:t>
      </w:r>
      <w:r>
        <w:rPr>
          <w:rFonts w:hint="eastAsia" w:ascii="Times New Roman" w:hAnsi="Times New Roman" w:eastAsia="宋体" w:cs="Times New Roman"/>
          <w:szCs w:val="21"/>
          <w:lang w:val="en-US" w:eastAsia="zh-CN"/>
        </w:rPr>
        <w:t>矿坑回填区域不得超出历史边界，除了必要的安全措施外，不得扩大矿坑范围。</w:t>
      </w:r>
    </w:p>
    <w:p w14:paraId="1082AA20">
      <w:pPr>
        <w:spacing w:line="360" w:lineRule="auto"/>
        <w:ind w:firstLine="0" w:firstLineChars="0"/>
        <w:rPr>
          <w:rFonts w:hint="default" w:ascii="Times New Roman" w:hAnsi="Times New Roman" w:eastAsia="宋体" w:cs="Times New Roman"/>
          <w:szCs w:val="21"/>
          <w:lang w:val="en-US" w:eastAsia="zh-CN"/>
        </w:rPr>
      </w:pPr>
      <w:r>
        <w:rPr>
          <w:rFonts w:hint="eastAsia" w:ascii="黑体" w:hAnsi="黑体" w:eastAsia="黑体" w:cs="Times New Roman"/>
          <w:color w:val="000000" w:themeColor="text1"/>
          <w:szCs w:val="21"/>
          <w:lang w:val="en-US" w:eastAsia="zh-CN"/>
          <w14:textFill>
            <w14:solidFill>
              <w14:schemeClr w14:val="tx1"/>
            </w14:solidFill>
          </w14:textFill>
        </w:rPr>
        <w:t xml:space="preserve">7.1.3 </w:t>
      </w:r>
      <w:r>
        <w:rPr>
          <w:rFonts w:hint="eastAsia" w:ascii="Times New Roman" w:hAnsi="Times New Roman" w:eastAsia="宋体" w:cs="Times New Roman"/>
          <w:szCs w:val="21"/>
          <w:lang w:val="en-US" w:eastAsia="zh-CN"/>
        </w:rPr>
        <w:t>矿坑回填区域必须为连续、稳定的地层，且应为天然状态或已进行清理、平整和修复的地基</w:t>
      </w:r>
      <w:r>
        <w:rPr>
          <w:rFonts w:hint="eastAsia" w:cs="Times New Roman"/>
          <w:szCs w:val="21"/>
          <w:lang w:val="en-US" w:eastAsia="zh-CN"/>
        </w:rPr>
        <w:t>。</w:t>
      </w:r>
    </w:p>
    <w:p w14:paraId="50C8FB1B">
      <w:pPr>
        <w:spacing w:line="360" w:lineRule="auto"/>
        <w:ind w:firstLine="0" w:firstLineChars="0"/>
        <w:rPr>
          <w:rFonts w:hint="eastAsia" w:ascii="Times New Roman" w:hAnsi="Times New Roman" w:eastAsia="宋体" w:cs="Times New Roman"/>
          <w:szCs w:val="21"/>
          <w:lang w:val="en-US" w:eastAsia="zh-CN"/>
        </w:rPr>
      </w:pPr>
      <w:r>
        <w:rPr>
          <w:rFonts w:hint="eastAsia" w:ascii="黑体" w:hAnsi="黑体" w:eastAsia="黑体" w:cs="Times New Roman"/>
          <w:color w:val="000000" w:themeColor="text1"/>
          <w:szCs w:val="21"/>
          <w:lang w:val="en-US" w:eastAsia="zh-CN"/>
          <w14:textFill>
            <w14:solidFill>
              <w14:schemeClr w14:val="tx1"/>
            </w14:solidFill>
          </w14:textFill>
        </w:rPr>
        <w:t xml:space="preserve">7.1.4 </w:t>
      </w:r>
      <w:r>
        <w:rPr>
          <w:rFonts w:hint="eastAsia" w:ascii="Times New Roman" w:hAnsi="Times New Roman" w:eastAsia="宋体" w:cs="Times New Roman"/>
          <w:szCs w:val="21"/>
          <w:lang w:val="en-US" w:eastAsia="zh-CN"/>
        </w:rPr>
        <w:t>回填作业面应按功能合理分区，主要包括回填作业区、安全隔离区、管理区和进出场道路。</w:t>
      </w:r>
    </w:p>
    <w:p w14:paraId="5C7DEF87">
      <w:pPr>
        <w:spacing w:line="360" w:lineRule="auto"/>
        <w:ind w:firstLine="0" w:firstLineChars="0"/>
        <w:rPr>
          <w:rFonts w:hint="default" w:ascii="Times New Roman" w:hAnsi="Times New Roman" w:cs="Times New Roman"/>
          <w:lang w:val="en-US" w:eastAsia="zh-CN"/>
        </w:rPr>
      </w:pPr>
      <w:r>
        <w:rPr>
          <w:rFonts w:hint="eastAsia" w:ascii="黑体" w:hAnsi="黑体" w:eastAsia="黑体" w:cs="Times New Roman"/>
          <w:color w:val="000000" w:themeColor="text1"/>
          <w:szCs w:val="21"/>
          <w:lang w:val="en-US" w:eastAsia="zh-CN"/>
          <w14:textFill>
            <w14:solidFill>
              <w14:schemeClr w14:val="tx1"/>
            </w14:solidFill>
          </w14:textFill>
        </w:rPr>
        <w:t xml:space="preserve">7.1.5 </w:t>
      </w:r>
      <w:r>
        <w:rPr>
          <w:rFonts w:hint="eastAsia" w:ascii="Times New Roman" w:hAnsi="Times New Roman" w:eastAsia="宋体" w:cs="Times New Roman"/>
          <w:sz w:val="21"/>
          <w:szCs w:val="21"/>
          <w:lang w:val="en-US" w:eastAsia="zh-CN"/>
        </w:rPr>
        <w:t>矿坑回填作业应避免在雨天进行，并应实施防汛预案，以应对极端天气条件的影响</w:t>
      </w:r>
      <w:r>
        <w:rPr>
          <w:rFonts w:hint="eastAsia" w:cs="Times New Roman"/>
          <w:szCs w:val="21"/>
          <w:lang w:val="en-US" w:eastAsia="zh-CN"/>
        </w:rPr>
        <w:t>。</w:t>
      </w:r>
    </w:p>
    <w:p w14:paraId="15076AB9">
      <w:pPr>
        <w:spacing w:before="0" w:after="0" w:line="480" w:lineRule="auto"/>
        <w:rPr>
          <w:rFonts w:hint="default" w:ascii="黑体" w:hAnsi="黑体" w:eastAsia="黑体" w:cs="Times New Roman"/>
          <w:b w:val="0"/>
          <w:color w:val="000000" w:themeColor="text1"/>
          <w:sz w:val="21"/>
          <w:szCs w:val="21"/>
          <w:lang w:val="en-US" w:eastAsia="zh-CN"/>
          <w14:textFill>
            <w14:solidFill>
              <w14:schemeClr w14:val="tx1"/>
            </w14:solidFill>
          </w14:textFill>
        </w:rPr>
      </w:pPr>
      <w:r>
        <w:rPr>
          <w:rFonts w:hint="eastAsia" w:ascii="黑体" w:hAnsi="黑体" w:eastAsia="黑体" w:cs="Times New Roman"/>
          <w:b w:val="0"/>
          <w:color w:val="000000" w:themeColor="text1"/>
          <w:sz w:val="21"/>
          <w:szCs w:val="21"/>
          <w:lang w:val="en-US" w:eastAsia="zh-CN"/>
          <w14:textFill>
            <w14:solidFill>
              <w14:schemeClr w14:val="tx1"/>
            </w14:solidFill>
          </w14:textFill>
        </w:rPr>
        <w:t>7.2</w:t>
      </w:r>
      <w:r>
        <w:rPr>
          <w:rFonts w:hint="default" w:ascii="黑体" w:hAnsi="黑体" w:eastAsia="黑体" w:cs="Times New Roman"/>
          <w:b w:val="0"/>
          <w:color w:val="000000" w:themeColor="text1"/>
          <w:sz w:val="21"/>
          <w:szCs w:val="21"/>
          <w:lang w:val="en-US" w:eastAsia="zh-CN"/>
          <w14:textFill>
            <w14:solidFill>
              <w14:schemeClr w14:val="tx1"/>
            </w14:solidFill>
          </w14:textFill>
        </w:rPr>
        <w:t>回填</w:t>
      </w:r>
      <w:r>
        <w:rPr>
          <w:rFonts w:hint="eastAsia" w:ascii="黑体" w:hAnsi="黑体" w:eastAsia="黑体" w:cs="Times New Roman"/>
          <w:b w:val="0"/>
          <w:color w:val="000000" w:themeColor="text1"/>
          <w:sz w:val="21"/>
          <w:szCs w:val="21"/>
          <w:lang w:val="en-US" w:eastAsia="zh-CN"/>
          <w14:textFill>
            <w14:solidFill>
              <w14:schemeClr w14:val="tx1"/>
            </w14:solidFill>
          </w14:textFill>
        </w:rPr>
        <w:t>技术要求</w:t>
      </w:r>
    </w:p>
    <w:p w14:paraId="2E345F88">
      <w:pPr>
        <w:spacing w:line="360" w:lineRule="auto"/>
        <w:ind w:firstLine="0" w:firstLineChars="0"/>
        <w:rPr>
          <w:rFonts w:hint="eastAsia" w:cs="Times New Roman"/>
          <w:szCs w:val="21"/>
          <w:lang w:val="en-US" w:eastAsia="zh-CN"/>
        </w:rPr>
      </w:pPr>
      <w:r>
        <w:rPr>
          <w:rFonts w:hint="eastAsia" w:ascii="黑体" w:hAnsi="黑体" w:eastAsia="黑体" w:cs="Times New Roman"/>
          <w:color w:val="000000" w:themeColor="text1"/>
          <w:szCs w:val="21"/>
          <w:lang w:val="en-US" w:eastAsia="zh-CN"/>
          <w14:textFill>
            <w14:solidFill>
              <w14:schemeClr w14:val="tx1"/>
            </w14:solidFill>
          </w14:textFill>
        </w:rPr>
        <w:t xml:space="preserve">7.2.1 </w:t>
      </w:r>
      <w:r>
        <w:rPr>
          <w:rFonts w:hint="eastAsia" w:ascii="Times New Roman" w:hAnsi="Times New Roman" w:cs="Times New Roman"/>
          <w:szCs w:val="21"/>
          <w:lang w:val="en-US" w:eastAsia="zh-CN"/>
        </w:rPr>
        <w:t>根据具体的回填需求，合理设计和安装防渗系统、排水系统、边坡保护和挡土墙，且需遵循GB 18599、GB 50330</w:t>
      </w:r>
      <w:r>
        <w:rPr>
          <w:rFonts w:hint="eastAsia" w:cs="Times New Roman"/>
          <w:szCs w:val="21"/>
          <w:lang w:val="en-US" w:eastAsia="zh-CN"/>
        </w:rPr>
        <w:t>和</w:t>
      </w:r>
      <w:r>
        <w:rPr>
          <w:rFonts w:hint="eastAsia" w:ascii="Times New Roman" w:hAnsi="Times New Roman" w:cs="Times New Roman"/>
          <w:szCs w:val="21"/>
          <w:lang w:val="en-US" w:eastAsia="zh-CN"/>
        </w:rPr>
        <w:t>SL 379</w:t>
      </w:r>
      <w:r>
        <w:rPr>
          <w:rFonts w:hint="eastAsia" w:cs="Times New Roman"/>
          <w:szCs w:val="21"/>
          <w:lang w:val="en-US" w:eastAsia="zh-CN"/>
        </w:rPr>
        <w:t>等</w:t>
      </w:r>
      <w:r>
        <w:rPr>
          <w:rFonts w:hint="eastAsia" w:ascii="Times New Roman" w:hAnsi="Times New Roman" w:cs="Times New Roman"/>
          <w:szCs w:val="21"/>
          <w:lang w:val="en-US" w:eastAsia="zh-CN"/>
        </w:rPr>
        <w:t>相关标准</w:t>
      </w:r>
      <w:r>
        <w:rPr>
          <w:rFonts w:hint="eastAsia" w:cs="Times New Roman"/>
          <w:szCs w:val="21"/>
          <w:lang w:val="en-US" w:eastAsia="zh-CN"/>
        </w:rPr>
        <w:t>。</w:t>
      </w:r>
    </w:p>
    <w:p w14:paraId="483E909E">
      <w:pPr>
        <w:spacing w:line="360" w:lineRule="auto"/>
        <w:ind w:firstLine="0" w:firstLineChars="0"/>
        <w:rPr>
          <w:rFonts w:hint="eastAsia" w:ascii="Times New Roman" w:hAnsi="Times New Roman" w:cs="Times New Roman"/>
          <w:szCs w:val="21"/>
          <w:lang w:val="en-US" w:eastAsia="zh-CN"/>
        </w:rPr>
      </w:pPr>
      <w:r>
        <w:rPr>
          <w:rFonts w:hint="eastAsia" w:ascii="黑体" w:hAnsi="黑体" w:eastAsia="黑体" w:cs="Times New Roman"/>
          <w:color w:val="000000" w:themeColor="text1"/>
          <w:szCs w:val="21"/>
          <w:lang w:val="en-US" w:eastAsia="zh-CN"/>
          <w14:textFill>
            <w14:solidFill>
              <w14:schemeClr w14:val="tx1"/>
            </w14:solidFill>
          </w14:textFill>
        </w:rPr>
        <w:t xml:space="preserve">7.2.2 </w:t>
      </w:r>
      <w:r>
        <w:rPr>
          <w:rFonts w:hint="eastAsia" w:ascii="Times New Roman" w:hAnsi="Times New Roman" w:cs="Times New Roman"/>
          <w:szCs w:val="21"/>
          <w:lang w:val="en-US" w:eastAsia="zh-CN"/>
        </w:rPr>
        <w:t>在</w:t>
      </w:r>
      <w:r>
        <w:rPr>
          <w:rFonts w:hint="eastAsia" w:cs="Times New Roman"/>
          <w:szCs w:val="21"/>
          <w:lang w:val="en-US" w:eastAsia="zh-CN"/>
        </w:rPr>
        <w:t>改性锂渣</w:t>
      </w:r>
      <w:r>
        <w:rPr>
          <w:rFonts w:hint="eastAsia" w:ascii="Times New Roman" w:hAnsi="Times New Roman" w:cs="Times New Roman"/>
          <w:szCs w:val="21"/>
          <w:lang w:val="en-US" w:eastAsia="zh-CN"/>
        </w:rPr>
        <w:t>的装卸和输送过程中，应采取有效措施控制扬尘污染，回填作业应尽量减少作业面，并在回填结束后及时覆盖土层，进行碾压，并实施必要的抑尘措施</w:t>
      </w:r>
      <w:r>
        <w:rPr>
          <w:rFonts w:hint="eastAsia" w:cs="Times New Roman"/>
          <w:szCs w:val="21"/>
          <w:lang w:val="en-US" w:eastAsia="zh-CN"/>
        </w:rPr>
        <w:t>。</w:t>
      </w:r>
    </w:p>
    <w:p w14:paraId="495A6CB4">
      <w:pPr>
        <w:spacing w:line="360" w:lineRule="auto"/>
        <w:ind w:firstLine="0" w:firstLineChars="0"/>
        <w:rPr>
          <w:rFonts w:hint="default" w:ascii="Times New Roman" w:hAnsi="Times New Roman" w:cs="Times New Roman"/>
          <w:szCs w:val="21"/>
          <w:lang w:val="en-US" w:eastAsia="zh-CN"/>
        </w:rPr>
      </w:pPr>
      <w:r>
        <w:rPr>
          <w:rFonts w:hint="eastAsia" w:ascii="黑体" w:hAnsi="黑体" w:eastAsia="黑体" w:cs="Times New Roman"/>
          <w:color w:val="000000" w:themeColor="text1"/>
          <w:szCs w:val="21"/>
          <w:lang w:val="en-US" w:eastAsia="zh-CN"/>
          <w14:textFill>
            <w14:solidFill>
              <w14:schemeClr w14:val="tx1"/>
            </w14:solidFill>
          </w14:textFill>
        </w:rPr>
        <w:t xml:space="preserve">7.2.3 </w:t>
      </w:r>
      <w:r>
        <w:rPr>
          <w:rFonts w:hint="eastAsia" w:cs="Times New Roman"/>
          <w:szCs w:val="21"/>
          <w:lang w:val="en-US" w:eastAsia="zh-CN"/>
        </w:rPr>
        <w:t>在回填过程中根据具体需求设置基础防渗层、回填层、阻隔层和覆土层，具体设计可参考</w:t>
      </w:r>
      <w:r>
        <w:rPr>
          <w:rFonts w:hint="default" w:ascii="Times New Roman" w:hAnsi="Times New Roman" w:cs="Times New Roman"/>
          <w:color w:val="000000" w:themeColor="text1"/>
          <w:sz w:val="21"/>
          <w:szCs w:val="21"/>
          <w:lang w:val="en-US" w:eastAsia="zh-CN"/>
          <w14:textFill>
            <w14:solidFill>
              <w14:schemeClr w14:val="tx1"/>
            </w14:solidFill>
          </w14:textFill>
        </w:rPr>
        <w:t>GB 18599</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DB15/T 2763</w:t>
      </w:r>
      <w:r>
        <w:rPr>
          <w:rFonts w:hint="eastAsia" w:cs="Times New Roman"/>
          <w:color w:val="000000" w:themeColor="text1"/>
          <w:sz w:val="21"/>
          <w:szCs w:val="21"/>
          <w:lang w:val="en-US" w:eastAsia="zh-CN"/>
          <w14:textFill>
            <w14:solidFill>
              <w14:schemeClr w14:val="tx1"/>
            </w14:solidFill>
          </w14:textFill>
        </w:rPr>
        <w:t>和</w:t>
      </w:r>
      <w:r>
        <w:rPr>
          <w:rFonts w:hint="default" w:ascii="Times New Roman" w:hAnsi="Times New Roman" w:cs="Times New Roman"/>
          <w:color w:val="000000" w:themeColor="text1"/>
          <w:sz w:val="21"/>
          <w:szCs w:val="21"/>
          <w:lang w:val="en-US" w:eastAsia="zh-CN"/>
          <w14:textFill>
            <w14:solidFill>
              <w14:schemeClr w14:val="tx1"/>
            </w14:solidFill>
          </w14:textFill>
        </w:rPr>
        <w:t>DB</w:t>
      </w:r>
      <w:r>
        <w:rPr>
          <w:rFonts w:hint="eastAsia" w:cs="Times New Roman"/>
          <w:color w:val="000000" w:themeColor="text1"/>
          <w:sz w:val="21"/>
          <w:szCs w:val="21"/>
          <w:lang w:val="en-US" w:eastAsia="zh-CN"/>
          <w14:textFill>
            <w14:solidFill>
              <w14:schemeClr w14:val="tx1"/>
            </w14:solidFill>
          </w14:textFill>
        </w:rPr>
        <w:t>53</w:t>
      </w:r>
      <w:r>
        <w:rPr>
          <w:rFonts w:hint="default" w:ascii="Times New Roman" w:hAnsi="Times New Roman" w:cs="Times New Roman"/>
          <w:color w:val="000000" w:themeColor="text1"/>
          <w:sz w:val="21"/>
          <w:szCs w:val="21"/>
          <w:lang w:val="en-US" w:eastAsia="zh-CN"/>
          <w14:textFill>
            <w14:solidFill>
              <w14:schemeClr w14:val="tx1"/>
            </w14:solidFill>
          </w14:textFill>
        </w:rPr>
        <w:t xml:space="preserve">/T </w:t>
      </w:r>
      <w:r>
        <w:rPr>
          <w:rFonts w:hint="eastAsia" w:cs="Times New Roman"/>
          <w:color w:val="000000" w:themeColor="text1"/>
          <w:sz w:val="21"/>
          <w:szCs w:val="21"/>
          <w:lang w:val="en-US" w:eastAsia="zh-CN"/>
          <w14:textFill>
            <w14:solidFill>
              <w14:schemeClr w14:val="tx1"/>
            </w14:solidFill>
          </w14:textFill>
        </w:rPr>
        <w:t>1269等相关标准。</w:t>
      </w:r>
    </w:p>
    <w:p w14:paraId="63EA86A6">
      <w:pPr>
        <w:spacing w:line="360" w:lineRule="auto"/>
        <w:ind w:firstLine="0" w:firstLineChars="0"/>
        <w:rPr>
          <w:rFonts w:hint="default" w:cs="Times New Roman"/>
          <w:szCs w:val="21"/>
          <w:lang w:val="en-US" w:eastAsia="zh-CN"/>
        </w:rPr>
      </w:pPr>
      <w:r>
        <w:rPr>
          <w:rFonts w:hint="eastAsia" w:ascii="黑体" w:hAnsi="黑体" w:eastAsia="黑体" w:cs="Times New Roman"/>
          <w:color w:val="000000" w:themeColor="text1"/>
          <w:szCs w:val="21"/>
          <w:lang w:val="en-US" w:eastAsia="zh-CN"/>
          <w14:textFill>
            <w14:solidFill>
              <w14:schemeClr w14:val="tx1"/>
            </w14:solidFill>
          </w14:textFill>
        </w:rPr>
        <w:t xml:space="preserve">7.2.4 </w:t>
      </w:r>
      <w:r>
        <w:rPr>
          <w:rFonts w:hint="default" w:cs="Times New Roman"/>
          <w:szCs w:val="21"/>
          <w:lang w:val="en-US" w:eastAsia="zh-CN"/>
        </w:rPr>
        <w:t>基础防渗层可采用厚度至少为1.5 mm的高密度聚乙烯膜，或选择厚度不小于0.75 m且饱和渗透系数不大于</w:t>
      </w:r>
      <w:r>
        <w:rPr>
          <w:rFonts w:hint="eastAsia" w:cs="Times New Roman"/>
          <w:lang w:val="en-US" w:eastAsia="zh-CN"/>
        </w:rPr>
        <w:t>1×10</w:t>
      </w:r>
      <w:r>
        <w:rPr>
          <w:rFonts w:hint="eastAsia" w:cs="Times New Roman"/>
          <w:vertAlign w:val="superscript"/>
          <w:lang w:val="en-US" w:eastAsia="zh-CN"/>
        </w:rPr>
        <w:t>-7</w:t>
      </w:r>
      <w:r>
        <w:rPr>
          <w:rFonts w:hint="eastAsia" w:cs="Times New Roman"/>
          <w:lang w:val="en-US" w:eastAsia="zh-CN"/>
        </w:rPr>
        <w:t xml:space="preserve"> cm/s</w:t>
      </w:r>
      <w:r>
        <w:rPr>
          <w:rFonts w:hint="eastAsia" w:cs="Times New Roman"/>
          <w:szCs w:val="21"/>
          <w:lang w:val="en-US" w:eastAsia="zh-CN"/>
        </w:rPr>
        <w:t xml:space="preserve"> </w:t>
      </w:r>
      <w:r>
        <w:rPr>
          <w:rFonts w:hint="default" w:cs="Times New Roman"/>
          <w:szCs w:val="21"/>
          <w:lang w:val="en-US" w:eastAsia="zh-CN"/>
        </w:rPr>
        <w:t>的粘土类防渗层</w:t>
      </w:r>
      <w:r>
        <w:rPr>
          <w:rFonts w:hint="eastAsia" w:cs="Times New Roman"/>
          <w:szCs w:val="21"/>
          <w:lang w:val="en-US" w:eastAsia="zh-CN"/>
        </w:rPr>
        <w:t>。</w:t>
      </w:r>
    </w:p>
    <w:p w14:paraId="0F442BEC">
      <w:pPr>
        <w:spacing w:line="360" w:lineRule="auto"/>
        <w:ind w:firstLine="0" w:firstLineChars="0"/>
        <w:rPr>
          <w:rFonts w:hint="eastAsia" w:cs="Times New Roman"/>
          <w:szCs w:val="21"/>
          <w:lang w:val="en-US" w:eastAsia="zh-CN"/>
        </w:rPr>
      </w:pPr>
      <w:r>
        <w:rPr>
          <w:rFonts w:hint="eastAsia" w:ascii="黑体" w:hAnsi="黑体" w:eastAsia="黑体" w:cs="Times New Roman"/>
          <w:color w:val="000000" w:themeColor="text1"/>
          <w:szCs w:val="21"/>
          <w:lang w:val="en-US" w:eastAsia="zh-CN"/>
          <w14:textFill>
            <w14:solidFill>
              <w14:schemeClr w14:val="tx1"/>
            </w14:solidFill>
          </w14:textFill>
        </w:rPr>
        <w:t xml:space="preserve">7.2.5 </w:t>
      </w:r>
      <w:r>
        <w:rPr>
          <w:rFonts w:hint="eastAsia" w:cs="Times New Roman"/>
          <w:szCs w:val="21"/>
          <w:lang w:val="en-US" w:eastAsia="zh-CN"/>
        </w:rPr>
        <w:t>回填层可将改性锂渣采用分层填筑、逐层压实的方式，以确保每层符合工程质量要求。</w:t>
      </w:r>
    </w:p>
    <w:p w14:paraId="694BB01E">
      <w:pPr>
        <w:spacing w:line="360" w:lineRule="auto"/>
        <w:ind w:firstLine="0" w:firstLineChars="0"/>
        <w:rPr>
          <w:rFonts w:hint="eastAsia" w:ascii="Times New Roman" w:hAnsi="Times New Roman" w:cs="Times New Roman"/>
          <w:szCs w:val="21"/>
          <w:lang w:val="en-US" w:eastAsia="zh-CN"/>
        </w:rPr>
      </w:pPr>
      <w:r>
        <w:rPr>
          <w:rFonts w:hint="eastAsia" w:ascii="黑体" w:hAnsi="黑体" w:eastAsia="黑体" w:cs="Times New Roman"/>
          <w:color w:val="000000" w:themeColor="text1"/>
          <w:szCs w:val="21"/>
          <w:lang w:val="en-US" w:eastAsia="zh-CN"/>
          <w14:textFill>
            <w14:solidFill>
              <w14:schemeClr w14:val="tx1"/>
            </w14:solidFill>
          </w14:textFill>
        </w:rPr>
        <w:t xml:space="preserve">7.2.6 </w:t>
      </w:r>
      <w:r>
        <w:rPr>
          <w:rFonts w:hint="eastAsia" w:ascii="Times New Roman" w:hAnsi="Times New Roman" w:eastAsia="宋体" w:cs="Times New Roman"/>
          <w:szCs w:val="21"/>
          <w:lang w:val="en-US" w:eastAsia="zh-CN"/>
        </w:rPr>
        <w:t>根据</w:t>
      </w:r>
      <w:r>
        <w:rPr>
          <w:rFonts w:hint="eastAsia" w:cs="Times New Roman"/>
          <w:szCs w:val="21"/>
          <w:lang w:val="en-US" w:eastAsia="zh-CN"/>
        </w:rPr>
        <w:t>实际土地利用规划及要求</w:t>
      </w:r>
      <w:r>
        <w:rPr>
          <w:rFonts w:hint="eastAsia" w:ascii="Times New Roman" w:hAnsi="Times New Roman" w:eastAsia="宋体" w:cs="Times New Roman"/>
          <w:szCs w:val="21"/>
          <w:lang w:val="en-US" w:eastAsia="zh-CN"/>
        </w:rPr>
        <w:t>，</w:t>
      </w:r>
      <w:r>
        <w:rPr>
          <w:rFonts w:hint="eastAsia" w:cs="Times New Roman"/>
          <w:szCs w:val="21"/>
          <w:lang w:val="en-US" w:eastAsia="zh-CN"/>
        </w:rPr>
        <w:t>可</w:t>
      </w:r>
      <w:r>
        <w:rPr>
          <w:rFonts w:hint="eastAsia" w:ascii="Times New Roman" w:hAnsi="Times New Roman" w:eastAsia="宋体" w:cs="Times New Roman"/>
          <w:sz w:val="21"/>
          <w:szCs w:val="21"/>
          <w:lang w:val="en-US" w:eastAsia="zh-CN"/>
        </w:rPr>
        <w:t>采用改性压实粘土或同等防渗材料作为阻隔层，其渗透系数</w:t>
      </w:r>
      <w:r>
        <w:rPr>
          <w:rFonts w:hint="default" w:cs="Times New Roman"/>
          <w:szCs w:val="21"/>
          <w:lang w:val="en-US" w:eastAsia="zh-CN"/>
        </w:rPr>
        <w:t>不大于</w:t>
      </w:r>
      <w:r>
        <w:rPr>
          <w:rFonts w:hint="eastAsia" w:cs="Times New Roman"/>
          <w:lang w:val="en-US" w:eastAsia="zh-CN"/>
        </w:rPr>
        <w:t>1×10</w:t>
      </w:r>
      <w:r>
        <w:rPr>
          <w:rFonts w:hint="eastAsia" w:cs="Times New Roman"/>
          <w:vertAlign w:val="superscript"/>
          <w:lang w:val="en-US" w:eastAsia="zh-CN"/>
        </w:rPr>
        <w:t>-7</w:t>
      </w:r>
      <w:r>
        <w:rPr>
          <w:rFonts w:hint="eastAsia" w:cs="Times New Roman"/>
          <w:lang w:val="en-US" w:eastAsia="zh-CN"/>
        </w:rPr>
        <w:t xml:space="preserve"> cm/s</w:t>
      </w:r>
      <w:r>
        <w:rPr>
          <w:rFonts w:hint="eastAsia" w:cs="Times New Roman"/>
          <w:szCs w:val="21"/>
          <w:lang w:val="en-US" w:eastAsia="zh-CN"/>
        </w:rPr>
        <w:t xml:space="preserve"> </w:t>
      </w:r>
      <w:r>
        <w:rPr>
          <w:rFonts w:hint="eastAsia" w:ascii="Times New Roman" w:hAnsi="Times New Roman" w:eastAsia="宋体" w:cs="Times New Roman"/>
          <w:sz w:val="21"/>
          <w:szCs w:val="21"/>
          <w:lang w:val="en-US" w:eastAsia="zh-CN"/>
        </w:rPr>
        <w:t>，厚度不得小于0.30</w:t>
      </w:r>
      <w:r>
        <w:rPr>
          <w:rFonts w:hint="eastAsia" w:cs="Times New Roman"/>
          <w:sz w:val="21"/>
          <w:szCs w:val="21"/>
          <w:lang w:val="en-US" w:eastAsia="zh-CN"/>
        </w:rPr>
        <w:t xml:space="preserve"> </w:t>
      </w:r>
      <w:r>
        <w:rPr>
          <w:rFonts w:hint="eastAsia" w:ascii="Times New Roman" w:hAnsi="Times New Roman" w:eastAsia="宋体" w:cs="Times New Roman"/>
          <w:sz w:val="21"/>
          <w:szCs w:val="21"/>
          <w:lang w:val="en-US" w:eastAsia="zh-CN"/>
        </w:rPr>
        <w:t>m，</w:t>
      </w:r>
      <w:r>
        <w:rPr>
          <w:rFonts w:hint="eastAsia" w:cs="Times New Roman"/>
          <w:sz w:val="21"/>
          <w:szCs w:val="21"/>
          <w:lang w:val="en-US" w:eastAsia="zh-CN"/>
        </w:rPr>
        <w:t>压实系数一般不少于0.85，</w:t>
      </w:r>
      <w:r>
        <w:rPr>
          <w:rFonts w:hint="eastAsia" w:ascii="Times New Roman" w:hAnsi="Times New Roman" w:eastAsia="宋体" w:cs="Times New Roman"/>
          <w:sz w:val="21"/>
          <w:szCs w:val="21"/>
          <w:lang w:val="en-US" w:eastAsia="zh-CN"/>
        </w:rPr>
        <w:t>以确保有效防渗和稳定性。</w:t>
      </w:r>
    </w:p>
    <w:p w14:paraId="3EB0700B">
      <w:pPr>
        <w:numPr>
          <w:ilvl w:val="-1"/>
          <w:numId w:val="0"/>
        </w:numPr>
        <w:spacing w:before="0" w:line="360" w:lineRule="auto"/>
        <w:ind w:left="0"/>
        <w:outlineLvl w:val="9"/>
        <w:rPr>
          <w:rFonts w:hint="default" w:ascii="黑体" w:hAnsi="黑体" w:eastAsia="黑体" w:cs="Times New Roman"/>
          <w:color w:val="000000" w:themeColor="text1"/>
          <w:lang w:val="en-US" w:eastAsia="zh-CN"/>
          <w14:textFill>
            <w14:solidFill>
              <w14:schemeClr w14:val="tx1"/>
            </w14:solidFill>
          </w14:textFill>
        </w:rPr>
      </w:pPr>
      <w:r>
        <w:rPr>
          <w:rFonts w:hint="eastAsia" w:ascii="黑体" w:hAnsi="黑体" w:eastAsia="黑体" w:cs="Times New Roman"/>
          <w:color w:val="000000" w:themeColor="text1"/>
          <w:szCs w:val="21"/>
          <w:lang w:val="en-US" w:eastAsia="zh-CN"/>
          <w14:textFill>
            <w14:solidFill>
              <w14:schemeClr w14:val="tx1"/>
            </w14:solidFill>
          </w14:textFill>
        </w:rPr>
        <w:t xml:space="preserve">7.2.7 </w:t>
      </w:r>
      <w:r>
        <w:rPr>
          <w:rFonts w:hint="eastAsia" w:cs="Times New Roman"/>
          <w:szCs w:val="21"/>
          <w:lang w:val="en-US" w:eastAsia="zh-CN"/>
        </w:rPr>
        <w:t>覆土层可根据拟种植物种类、周边地形因素等实际情况在回填层或</w:t>
      </w:r>
      <w:r>
        <w:rPr>
          <w:rFonts w:hint="eastAsia" w:ascii="Times New Roman" w:hAnsi="Times New Roman" w:eastAsia="宋体" w:cs="Times New Roman"/>
          <w:sz w:val="21"/>
          <w:szCs w:val="21"/>
          <w:lang w:val="en-US" w:eastAsia="zh-CN"/>
        </w:rPr>
        <w:t>阻隔层</w:t>
      </w:r>
      <w:r>
        <w:rPr>
          <w:rFonts w:hint="eastAsia" w:cs="Times New Roman"/>
          <w:sz w:val="21"/>
          <w:szCs w:val="21"/>
          <w:lang w:val="en-US" w:eastAsia="zh-CN"/>
        </w:rPr>
        <w:t>上方</w:t>
      </w:r>
      <w:r>
        <w:rPr>
          <w:rFonts w:hint="eastAsia" w:cs="Times New Roman"/>
          <w:szCs w:val="21"/>
          <w:lang w:val="en-US" w:eastAsia="zh-CN"/>
        </w:rPr>
        <w:t>覆土，覆土厚度和土质应符合 TD/T 1036相关规定。</w:t>
      </w:r>
    </w:p>
    <w:p w14:paraId="1820381C">
      <w:pPr>
        <w:numPr>
          <w:ilvl w:val="0"/>
          <w:numId w:val="2"/>
        </w:numPr>
        <w:spacing w:before="0" w:after="0" w:line="720" w:lineRule="auto"/>
        <w:outlineLvl w:val="0"/>
        <w:rPr>
          <w:rFonts w:hint="default" w:ascii="黑体" w:hAnsi="黑体" w:eastAsia="黑体" w:cs="Times New Roman"/>
          <w:b w:val="0"/>
          <w:color w:val="000000" w:themeColor="text1"/>
          <w:sz w:val="21"/>
          <w:szCs w:val="21"/>
          <w:lang w:val="en-US" w:eastAsia="zh-CN"/>
          <w14:textFill>
            <w14:solidFill>
              <w14:schemeClr w14:val="tx1"/>
            </w14:solidFill>
          </w14:textFill>
        </w:rPr>
      </w:pPr>
      <w:bookmarkStart w:id="39" w:name="_Toc8703"/>
      <w:r>
        <w:rPr>
          <w:rFonts w:hint="default" w:ascii="黑体" w:hAnsi="黑体" w:eastAsia="黑体" w:cs="Times New Roman"/>
          <w:color w:val="000000" w:themeColor="text1"/>
          <w:lang w:val="en-US" w:eastAsia="zh-CN"/>
          <w14:textFill>
            <w14:solidFill>
              <w14:schemeClr w14:val="tx1"/>
            </w14:solidFill>
          </w14:textFill>
        </w:rPr>
        <w:t>生态恢复</w:t>
      </w:r>
      <w:r>
        <w:rPr>
          <w:rFonts w:hint="eastAsia" w:ascii="黑体" w:hAnsi="黑体" w:eastAsia="黑体" w:cs="Times New Roman"/>
          <w:color w:val="000000" w:themeColor="text1"/>
          <w:lang w:val="en-US" w:eastAsia="zh-CN"/>
          <w14:textFill>
            <w14:solidFill>
              <w14:schemeClr w14:val="tx1"/>
            </w14:solidFill>
          </w14:textFill>
        </w:rPr>
        <w:t>要求</w:t>
      </w:r>
      <w:bookmarkEnd w:id="39"/>
    </w:p>
    <w:p w14:paraId="245FB245">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cs="Times New Roman"/>
          <w:sz w:val="21"/>
          <w:szCs w:val="21"/>
          <w:lang w:val="en-US" w:eastAsia="zh-CN"/>
        </w:rPr>
      </w:pPr>
      <w:r>
        <w:rPr>
          <w:rFonts w:hint="eastAsia" w:ascii="黑体" w:hAnsi="黑体" w:eastAsia="黑体" w:cs="Times New Roman"/>
          <w:color w:val="000000" w:themeColor="text1"/>
          <w:szCs w:val="21"/>
          <w:lang w:val="en-US" w:eastAsia="zh-CN"/>
          <w14:textFill>
            <w14:solidFill>
              <w14:schemeClr w14:val="tx1"/>
            </w14:solidFill>
          </w14:textFill>
        </w:rPr>
        <w:t xml:space="preserve">8.1 </w:t>
      </w:r>
      <w:r>
        <w:rPr>
          <w:rFonts w:hint="eastAsia" w:ascii="Times New Roman" w:hAnsi="Times New Roman" w:eastAsia="宋体" w:cs="Times New Roman"/>
          <w:szCs w:val="21"/>
          <w:lang w:val="en-US" w:eastAsia="zh-CN"/>
        </w:rPr>
        <w:t>根据</w:t>
      </w:r>
      <w:r>
        <w:rPr>
          <w:rFonts w:hint="eastAsia" w:ascii="Times New Roman" w:hAnsi="Times New Roman" w:eastAsia="宋体" w:cs="Times New Roman"/>
          <w:sz w:val="21"/>
          <w:szCs w:val="21"/>
          <w:lang w:val="en-US" w:eastAsia="zh-CN"/>
        </w:rPr>
        <w:t>矿坑所在矿山的生态修复总体定位，以及国土空间总体规划、土地利用现状和其他相关法定规划要求，明确生态修复目标</w:t>
      </w:r>
      <w:r>
        <w:rPr>
          <w:rFonts w:hint="eastAsia" w:cs="Times New Roman"/>
          <w:sz w:val="21"/>
          <w:szCs w:val="21"/>
          <w:lang w:val="en-US" w:eastAsia="zh-CN"/>
        </w:rPr>
        <w:t>和</w:t>
      </w:r>
      <w:r>
        <w:rPr>
          <w:rFonts w:hint="eastAsia" w:ascii="Times New Roman" w:hAnsi="Times New Roman" w:eastAsia="宋体" w:cs="Times New Roman"/>
          <w:sz w:val="21"/>
          <w:szCs w:val="21"/>
          <w:lang w:val="en-US" w:eastAsia="zh-CN"/>
        </w:rPr>
        <w:t>任务</w:t>
      </w:r>
      <w:r>
        <w:rPr>
          <w:rFonts w:hint="eastAsia" w:cs="Times New Roman"/>
          <w:sz w:val="21"/>
          <w:szCs w:val="21"/>
          <w:lang w:val="en-US" w:eastAsia="zh-CN"/>
        </w:rPr>
        <w:t>。</w:t>
      </w:r>
    </w:p>
    <w:p w14:paraId="2D3047E5">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Times New Roman" w:hAnsi="Times New Roman" w:eastAsia="宋体" w:cs="Times New Roman"/>
          <w:szCs w:val="21"/>
          <w:lang w:val="en-US" w:eastAsia="zh-CN"/>
        </w:rPr>
      </w:pPr>
      <w:r>
        <w:rPr>
          <w:rFonts w:hint="eastAsia" w:ascii="黑体" w:hAnsi="黑体" w:eastAsia="黑体" w:cs="Times New Roman"/>
          <w:color w:val="000000" w:themeColor="text1"/>
          <w:szCs w:val="21"/>
          <w:lang w:val="en-US" w:eastAsia="zh-CN"/>
          <w14:textFill>
            <w14:solidFill>
              <w14:schemeClr w14:val="tx1"/>
            </w14:solidFill>
          </w14:textFill>
        </w:rPr>
        <w:t xml:space="preserve">8.2 </w:t>
      </w:r>
      <w:r>
        <w:rPr>
          <w:rFonts w:hint="eastAsia" w:ascii="Times New Roman" w:hAnsi="Times New Roman" w:eastAsia="宋体" w:cs="Times New Roman"/>
          <w:szCs w:val="21"/>
          <w:lang w:val="en-US" w:eastAsia="zh-CN"/>
        </w:rPr>
        <w:t>回填作业结束后</w:t>
      </w:r>
      <w:r>
        <w:rPr>
          <w:rFonts w:hint="default" w:ascii="Times New Roman" w:hAnsi="Times New Roman" w:cs="Times New Roman"/>
          <w:lang w:val="en-US" w:eastAsia="zh-CN"/>
        </w:rPr>
        <w:t>开展土地复垦工作</w:t>
      </w:r>
      <w:r>
        <w:rPr>
          <w:rFonts w:hint="eastAsia" w:ascii="Times New Roman" w:hAnsi="Times New Roman" w:eastAsia="宋体" w:cs="Times New Roman"/>
          <w:szCs w:val="21"/>
          <w:lang w:val="en-US" w:eastAsia="zh-CN"/>
        </w:rPr>
        <w:t>，土地复垦应符合TD/T 1036</w:t>
      </w:r>
      <w:bookmarkStart w:id="48" w:name="_GoBack"/>
      <w:bookmarkEnd w:id="48"/>
      <w:r>
        <w:rPr>
          <w:rFonts w:hint="eastAsia" w:ascii="Times New Roman" w:hAnsi="Times New Roman" w:eastAsia="宋体" w:cs="Times New Roman"/>
          <w:szCs w:val="21"/>
          <w:lang w:val="en-US" w:eastAsia="zh-CN"/>
        </w:rPr>
        <w:t>规定的相关土地复垦质量控制要求</w:t>
      </w:r>
      <w:r>
        <w:rPr>
          <w:rFonts w:hint="eastAsia" w:cs="Times New Roman"/>
          <w:szCs w:val="21"/>
          <w:lang w:val="en-US" w:eastAsia="zh-CN"/>
        </w:rPr>
        <w:t>。</w:t>
      </w:r>
      <w:r>
        <w:rPr>
          <w:rFonts w:hint="eastAsia" w:ascii="Times New Roman" w:hAnsi="Times New Roman" w:eastAsia="宋体" w:cs="Times New Roman"/>
          <w:szCs w:val="21"/>
          <w:lang w:val="en-US" w:eastAsia="zh-CN"/>
        </w:rPr>
        <w:t>土地复垦后用作建设用地的，还应满足GB 36600的要求；用作农用地的，还应满足GB 15618的要求</w:t>
      </w:r>
      <w:r>
        <w:rPr>
          <w:rFonts w:hint="eastAsia" w:cs="Times New Roman"/>
          <w:szCs w:val="21"/>
          <w:lang w:val="en-US" w:eastAsia="zh-CN"/>
        </w:rPr>
        <w:t>。</w:t>
      </w:r>
    </w:p>
    <w:p w14:paraId="7B0FF90E">
      <w:pPr>
        <w:keepNext w:val="0"/>
        <w:keepLines w:val="0"/>
        <w:pageBreakBefore w:val="0"/>
        <w:widowControl w:val="0"/>
        <w:numPr>
          <w:ilvl w:val="-1"/>
          <w:numId w:val="0"/>
        </w:numPr>
        <w:kinsoku/>
        <w:wordWrap/>
        <w:overflowPunct/>
        <w:topLinePunct w:val="0"/>
        <w:autoSpaceDE/>
        <w:autoSpaceDN/>
        <w:bidi w:val="0"/>
        <w:adjustRightInd/>
        <w:snapToGrid/>
        <w:spacing w:before="0" w:line="360" w:lineRule="auto"/>
        <w:ind w:left="0"/>
        <w:textAlignment w:val="auto"/>
        <w:outlineLvl w:val="9"/>
        <w:rPr>
          <w:rFonts w:hint="default" w:cs="Times New Roman"/>
          <w:b w:val="0"/>
          <w:sz w:val="21"/>
          <w:szCs w:val="22"/>
          <w:lang w:val="en-US" w:eastAsia="zh-CN"/>
        </w:rPr>
      </w:pPr>
      <w:r>
        <w:rPr>
          <w:rFonts w:hint="eastAsia" w:ascii="黑体" w:hAnsi="黑体" w:eastAsia="黑体" w:cs="Times New Roman"/>
          <w:b w:val="0"/>
          <w:color w:val="000000" w:themeColor="text1"/>
          <w:sz w:val="21"/>
          <w:szCs w:val="21"/>
          <w:lang w:val="en-US" w:eastAsia="zh-CN"/>
          <w14:textFill>
            <w14:solidFill>
              <w14:schemeClr w14:val="tx1"/>
            </w14:solidFill>
          </w14:textFill>
        </w:rPr>
        <w:t>8.3</w:t>
      </w:r>
      <w:r>
        <w:rPr>
          <w:rFonts w:hint="eastAsia" w:ascii="黑体" w:hAnsi="黑体" w:eastAsia="黑体" w:cs="Times New Roman"/>
          <w:color w:val="000000" w:themeColor="text1"/>
          <w:szCs w:val="21"/>
          <w:lang w:val="en-US" w:eastAsia="zh-CN"/>
          <w14:textFill>
            <w14:solidFill>
              <w14:schemeClr w14:val="tx1"/>
            </w14:solidFill>
          </w14:textFill>
        </w:rPr>
        <w:t xml:space="preserve"> </w:t>
      </w:r>
      <w:r>
        <w:rPr>
          <w:rFonts w:hint="default" w:cs="Times New Roman"/>
          <w:b w:val="0"/>
          <w:sz w:val="21"/>
          <w:szCs w:val="22"/>
          <w:lang w:val="en-US" w:eastAsia="zh-CN"/>
        </w:rPr>
        <w:t>植被恢复应综合坡度、水土保持等因素，优先原生表土与乡土物种，禁用有害外来种，构建近自然群落，选抗逆性强且与周边景观协调的</w:t>
      </w:r>
      <w:r>
        <w:rPr>
          <w:rFonts w:hint="eastAsia" w:cs="Times New Roman"/>
          <w:b w:val="0"/>
          <w:sz w:val="21"/>
          <w:szCs w:val="22"/>
          <w:lang w:val="en-US" w:eastAsia="zh-CN"/>
        </w:rPr>
        <w:t>植被，</w:t>
      </w:r>
      <w:r>
        <w:rPr>
          <w:rFonts w:hint="default" w:cs="Times New Roman"/>
          <w:b w:val="0"/>
          <w:sz w:val="21"/>
          <w:szCs w:val="22"/>
          <w:lang w:val="en-US" w:eastAsia="zh-CN"/>
        </w:rPr>
        <w:t>植被恢复</w:t>
      </w:r>
      <w:r>
        <w:rPr>
          <w:rFonts w:hint="eastAsia" w:cs="Times New Roman"/>
          <w:b w:val="0"/>
          <w:sz w:val="21"/>
          <w:szCs w:val="22"/>
          <w:lang w:val="en-US" w:eastAsia="zh-CN"/>
        </w:rPr>
        <w:t>技术应</w:t>
      </w:r>
      <w:r>
        <w:rPr>
          <w:rFonts w:hint="default" w:cs="Times New Roman"/>
          <w:b w:val="0"/>
          <w:sz w:val="21"/>
          <w:szCs w:val="22"/>
          <w:lang w:val="en-US" w:eastAsia="zh-CN"/>
        </w:rPr>
        <w:t>符合GB/T 38360</w:t>
      </w:r>
      <w:r>
        <w:rPr>
          <w:rFonts w:hint="eastAsia" w:cs="Times New Roman"/>
          <w:b w:val="0"/>
          <w:sz w:val="21"/>
          <w:szCs w:val="22"/>
          <w:lang w:val="en-US" w:eastAsia="zh-CN"/>
        </w:rPr>
        <w:t>、</w:t>
      </w:r>
      <w:r>
        <w:rPr>
          <w:rFonts w:hint="default" w:cs="Times New Roman"/>
          <w:b w:val="0"/>
          <w:sz w:val="21"/>
          <w:szCs w:val="22"/>
          <w:lang w:val="en-US" w:eastAsia="zh-CN"/>
        </w:rPr>
        <w:t>GB/T 15776</w:t>
      </w:r>
      <w:r>
        <w:rPr>
          <w:rFonts w:hint="eastAsia" w:cs="Times New Roman"/>
          <w:b w:val="0"/>
          <w:sz w:val="21"/>
          <w:szCs w:val="22"/>
          <w:lang w:val="en-US" w:eastAsia="zh-CN"/>
        </w:rPr>
        <w:t>和</w:t>
      </w:r>
      <w:r>
        <w:rPr>
          <w:rFonts w:hint="default" w:cs="Times New Roman"/>
          <w:b w:val="0"/>
          <w:sz w:val="21"/>
          <w:szCs w:val="22"/>
          <w:lang w:val="en-US" w:eastAsia="zh-CN"/>
        </w:rPr>
        <w:t>NY/T 1342</w:t>
      </w:r>
      <w:r>
        <w:rPr>
          <w:rFonts w:hint="eastAsia" w:cs="Times New Roman"/>
          <w:b w:val="0"/>
          <w:sz w:val="21"/>
          <w:szCs w:val="22"/>
          <w:lang w:val="en-US" w:eastAsia="zh-CN"/>
        </w:rPr>
        <w:t>等相关标准的要求</w:t>
      </w:r>
      <w:r>
        <w:rPr>
          <w:rFonts w:hint="default" w:cs="Times New Roman"/>
          <w:b w:val="0"/>
          <w:sz w:val="21"/>
          <w:szCs w:val="22"/>
          <w:lang w:val="en-US" w:eastAsia="zh-CN"/>
        </w:rPr>
        <w:t>。</w:t>
      </w:r>
      <w:bookmarkEnd w:id="37"/>
      <w:bookmarkEnd w:id="38"/>
    </w:p>
    <w:p w14:paraId="77A2EB6F">
      <w:pPr>
        <w:numPr>
          <w:ilvl w:val="0"/>
          <w:numId w:val="2"/>
        </w:numPr>
        <w:spacing w:before="0" w:line="720" w:lineRule="auto"/>
        <w:ind w:left="0"/>
        <w:outlineLvl w:val="0"/>
        <w:rPr>
          <w:rFonts w:hint="default" w:ascii="黑体" w:hAnsi="黑体" w:eastAsia="黑体" w:cs="Times New Roman"/>
          <w:color w:val="000000" w:themeColor="text1"/>
          <w:lang w:val="en-US" w:eastAsia="zh-CN"/>
          <w14:textFill>
            <w14:solidFill>
              <w14:schemeClr w14:val="tx1"/>
            </w14:solidFill>
          </w14:textFill>
        </w:rPr>
      </w:pPr>
      <w:bookmarkStart w:id="40" w:name="_Toc21220"/>
      <w:bookmarkStart w:id="41" w:name="_Toc8758"/>
      <w:bookmarkStart w:id="42" w:name="_Toc12859"/>
      <w:r>
        <w:rPr>
          <w:rFonts w:hint="eastAsia" w:ascii="黑体" w:hAnsi="黑体" w:eastAsia="黑体" w:cs="Times New Roman"/>
          <w:color w:val="000000" w:themeColor="text1"/>
          <w:lang w:val="en-US" w:eastAsia="zh-CN"/>
          <w14:textFill>
            <w14:solidFill>
              <w14:schemeClr w14:val="tx1"/>
            </w14:solidFill>
          </w14:textFill>
        </w:rPr>
        <w:t>环境监测</w:t>
      </w:r>
      <w:bookmarkEnd w:id="40"/>
      <w:r>
        <w:rPr>
          <w:rFonts w:hint="eastAsia" w:ascii="黑体" w:hAnsi="黑体" w:eastAsia="黑体" w:cs="Times New Roman"/>
          <w:color w:val="000000" w:themeColor="text1"/>
          <w:lang w:val="en-US" w:eastAsia="zh-CN"/>
          <w14:textFill>
            <w14:solidFill>
              <w14:schemeClr w14:val="tx1"/>
            </w14:solidFill>
          </w14:textFill>
        </w:rPr>
        <w:t>要求</w:t>
      </w:r>
      <w:bookmarkEnd w:id="41"/>
    </w:p>
    <w:p w14:paraId="120969BD">
      <w:pPr>
        <w:spacing w:before="0" w:after="0" w:line="480" w:lineRule="auto"/>
        <w:rPr>
          <w:rFonts w:hint="default" w:ascii="黑体" w:hAnsi="黑体" w:eastAsia="黑体" w:cs="Times New Roman"/>
          <w:b w:val="0"/>
          <w:color w:val="000000" w:themeColor="text1"/>
          <w:sz w:val="21"/>
          <w:szCs w:val="21"/>
          <w:lang w:val="en-US" w:eastAsia="zh-CN"/>
          <w14:textFill>
            <w14:solidFill>
              <w14:schemeClr w14:val="tx1"/>
            </w14:solidFill>
          </w14:textFill>
        </w:rPr>
      </w:pPr>
      <w:r>
        <w:rPr>
          <w:rFonts w:hint="eastAsia" w:ascii="黑体" w:hAnsi="黑体" w:eastAsia="黑体" w:cs="Times New Roman"/>
          <w:b w:val="0"/>
          <w:color w:val="000000" w:themeColor="text1"/>
          <w:sz w:val="21"/>
          <w:szCs w:val="21"/>
          <w:lang w:val="en-US" w:eastAsia="zh-CN"/>
          <w14:textFill>
            <w14:solidFill>
              <w14:schemeClr w14:val="tx1"/>
            </w14:solidFill>
          </w14:textFill>
        </w:rPr>
        <w:t>9.1过程监测</w:t>
      </w:r>
    </w:p>
    <w:p w14:paraId="6D1B9BA3">
      <w:pPr>
        <w:numPr>
          <w:ilvl w:val="-1"/>
          <w:numId w:val="0"/>
        </w:numPr>
        <w:spacing w:before="0" w:line="360" w:lineRule="auto"/>
        <w:ind w:left="0" w:firstLine="0" w:firstLineChars="0"/>
        <w:outlineLvl w:val="9"/>
        <w:rPr>
          <w:rFonts w:hint="default" w:ascii="Times New Roman" w:hAnsi="Times New Roman" w:eastAsia="宋体" w:cs="Times New Roman"/>
          <w:b w:val="0"/>
          <w:color w:val="auto"/>
          <w:sz w:val="21"/>
          <w:szCs w:val="22"/>
          <w:lang w:val="en-US" w:eastAsia="zh-CN"/>
        </w:rPr>
      </w:pPr>
      <w:r>
        <w:rPr>
          <w:rFonts w:hint="eastAsia" w:ascii="黑体" w:hAnsi="黑体" w:eastAsia="黑体" w:cs="黑体"/>
          <w:b w:val="0"/>
          <w:bCs w:val="0"/>
          <w:color w:val="auto"/>
          <w:sz w:val="21"/>
          <w:szCs w:val="22"/>
          <w:lang w:val="en-US" w:eastAsia="zh-CN"/>
        </w:rPr>
        <w:t>9.</w:t>
      </w:r>
      <w:r>
        <w:rPr>
          <w:rFonts w:hint="eastAsia" w:ascii="黑体" w:hAnsi="黑体" w:eastAsia="黑体" w:cs="黑体"/>
          <w:b w:val="0"/>
          <w:bCs w:val="0"/>
          <w:sz w:val="21"/>
          <w:szCs w:val="22"/>
          <w:lang w:val="en-US" w:eastAsia="zh-CN"/>
        </w:rPr>
        <w:t>1</w:t>
      </w:r>
      <w:r>
        <w:rPr>
          <w:rFonts w:hint="eastAsia" w:ascii="黑体" w:hAnsi="黑体" w:eastAsia="黑体" w:cs="黑体"/>
          <w:b w:val="0"/>
          <w:bCs w:val="0"/>
          <w:color w:val="auto"/>
          <w:sz w:val="21"/>
          <w:szCs w:val="22"/>
          <w:lang w:val="en-US" w:eastAsia="zh-CN"/>
        </w:rPr>
        <w:t>.1</w:t>
      </w:r>
      <w:r>
        <w:rPr>
          <w:rFonts w:hint="default" w:ascii="Times New Roman" w:hAnsi="Times New Roman" w:eastAsia="宋体" w:cs="Times New Roman"/>
          <w:b w:val="0"/>
          <w:color w:val="auto"/>
          <w:sz w:val="21"/>
          <w:szCs w:val="22"/>
          <w:lang w:val="en-US" w:eastAsia="zh-CN"/>
        </w:rPr>
        <w:t xml:space="preserve"> 土壤</w:t>
      </w:r>
      <w:r>
        <w:rPr>
          <w:rFonts w:hint="eastAsia" w:cs="Times New Roman"/>
          <w:b w:val="0"/>
          <w:sz w:val="21"/>
          <w:szCs w:val="22"/>
          <w:lang w:val="en-US" w:eastAsia="zh-CN"/>
        </w:rPr>
        <w:t>、地表水和地下水</w:t>
      </w:r>
      <w:r>
        <w:rPr>
          <w:rFonts w:hint="default" w:ascii="Times New Roman" w:hAnsi="Times New Roman" w:eastAsia="宋体" w:cs="Times New Roman"/>
          <w:b w:val="0"/>
          <w:color w:val="auto"/>
          <w:sz w:val="21"/>
          <w:szCs w:val="22"/>
          <w:lang w:val="en-US" w:eastAsia="zh-CN"/>
        </w:rPr>
        <w:t>监测</w:t>
      </w:r>
      <w:r>
        <w:rPr>
          <w:rFonts w:hint="eastAsia" w:cs="Times New Roman"/>
          <w:b w:val="0"/>
          <w:sz w:val="21"/>
          <w:szCs w:val="22"/>
          <w:lang w:val="en-US" w:eastAsia="zh-CN"/>
        </w:rPr>
        <w:t>。在地表矿坑回填过程中，</w:t>
      </w:r>
      <w:r>
        <w:rPr>
          <w:rFonts w:hint="default" w:ascii="Times New Roman" w:hAnsi="Times New Roman" w:eastAsia="宋体" w:cs="Times New Roman"/>
          <w:b w:val="0"/>
          <w:sz w:val="21"/>
          <w:szCs w:val="22"/>
          <w:lang w:val="en-US" w:eastAsia="zh-CN"/>
        </w:rPr>
        <w:t>土壤</w:t>
      </w:r>
      <w:r>
        <w:rPr>
          <w:rFonts w:hint="eastAsia" w:cs="Times New Roman"/>
          <w:b w:val="0"/>
          <w:sz w:val="21"/>
          <w:szCs w:val="22"/>
          <w:lang w:val="en-US" w:eastAsia="zh-CN"/>
        </w:rPr>
        <w:t>、地表水和地下水等环境质量监测按本文件5.3执行监测。土壤监测频次不少于每季度1次；地表水监测频次为季节性监测；地下水监测频次为每年在丰水期、平水期和枯水期至少进行每季度1次监测。</w:t>
      </w:r>
    </w:p>
    <w:p w14:paraId="37678F90">
      <w:pPr>
        <w:numPr>
          <w:ilvl w:val="-1"/>
          <w:numId w:val="0"/>
        </w:numPr>
        <w:spacing w:before="0" w:line="360" w:lineRule="auto"/>
        <w:ind w:left="0" w:firstLine="0" w:firstLineChars="0"/>
        <w:outlineLvl w:val="9"/>
        <w:rPr>
          <w:rFonts w:hint="eastAsia" w:cs="Times New Roman"/>
          <w:b w:val="0"/>
          <w:sz w:val="21"/>
          <w:szCs w:val="22"/>
          <w:lang w:val="en-US" w:eastAsia="zh-CN"/>
        </w:rPr>
      </w:pPr>
      <w:r>
        <w:rPr>
          <w:rFonts w:hint="eastAsia" w:ascii="黑体" w:hAnsi="黑体" w:eastAsia="黑体" w:cs="黑体"/>
          <w:b w:val="0"/>
          <w:bCs w:val="0"/>
          <w:sz w:val="21"/>
          <w:szCs w:val="22"/>
          <w:lang w:val="en-US" w:eastAsia="zh-CN"/>
        </w:rPr>
        <w:t>9.1.2</w:t>
      </w:r>
      <w:r>
        <w:rPr>
          <w:rFonts w:hint="default" w:ascii="Times New Roman" w:hAnsi="Times New Roman" w:eastAsia="宋体" w:cs="Times New Roman"/>
          <w:b w:val="0"/>
          <w:sz w:val="21"/>
          <w:szCs w:val="22"/>
          <w:lang w:val="en-US" w:eastAsia="zh-CN"/>
        </w:rPr>
        <w:t xml:space="preserve"> </w:t>
      </w:r>
      <w:r>
        <w:rPr>
          <w:rFonts w:hint="eastAsia" w:cs="Times New Roman"/>
          <w:b w:val="0"/>
          <w:sz w:val="21"/>
          <w:szCs w:val="22"/>
          <w:lang w:val="en-US" w:eastAsia="zh-CN"/>
        </w:rPr>
        <w:t>废水</w:t>
      </w:r>
      <w:r>
        <w:rPr>
          <w:rFonts w:hint="default" w:ascii="Times New Roman" w:hAnsi="Times New Roman" w:eastAsia="宋体" w:cs="Times New Roman"/>
          <w:b w:val="0"/>
          <w:sz w:val="21"/>
          <w:szCs w:val="22"/>
          <w:lang w:val="en-US" w:eastAsia="zh-CN"/>
        </w:rPr>
        <w:t>监测</w:t>
      </w:r>
      <w:r>
        <w:rPr>
          <w:rFonts w:hint="eastAsia" w:cs="Times New Roman"/>
          <w:b w:val="0"/>
          <w:sz w:val="21"/>
          <w:szCs w:val="22"/>
          <w:lang w:val="en-US" w:eastAsia="zh-CN"/>
        </w:rPr>
        <w:t>。在地表矿坑回填过程中，根据实际情况监测收集的渗滤液、抽提水、厂区内冲洗水和初期雨水等废水，</w:t>
      </w:r>
      <w:r>
        <w:rPr>
          <w:rFonts w:hint="default" w:cs="Times New Roman"/>
          <w:szCs w:val="21"/>
          <w:lang w:val="en-US" w:eastAsia="zh-CN"/>
        </w:rPr>
        <w:t>监测指标涵盖</w:t>
      </w:r>
      <w:r>
        <w:rPr>
          <w:rFonts w:hint="eastAsia" w:cs="Times New Roman"/>
          <w:szCs w:val="21"/>
          <w:lang w:val="en-US" w:eastAsia="zh-CN"/>
        </w:rPr>
        <w:t>但不仅限于铍、铊、锰、氟等</w:t>
      </w:r>
      <w:r>
        <w:rPr>
          <w:rFonts w:hint="default" w:cs="Times New Roman"/>
          <w:szCs w:val="21"/>
          <w:lang w:val="en-US" w:eastAsia="zh-CN"/>
        </w:rPr>
        <w:t>特征因子</w:t>
      </w:r>
      <w:r>
        <w:rPr>
          <w:rFonts w:hint="eastAsia" w:cs="Times New Roman"/>
          <w:szCs w:val="21"/>
          <w:lang w:val="en-US" w:eastAsia="zh-CN"/>
        </w:rPr>
        <w:t>，参照</w:t>
      </w:r>
      <w:r>
        <w:rPr>
          <w:rFonts w:hint="default" w:cs="Times New Roman"/>
          <w:szCs w:val="21"/>
          <w:lang w:val="en-US" w:eastAsia="zh-CN"/>
        </w:rPr>
        <w:t>GB 3838</w:t>
      </w:r>
      <w:r>
        <w:rPr>
          <w:rFonts w:hint="eastAsia" w:cs="Times New Roman"/>
          <w:szCs w:val="21"/>
          <w:lang w:val="en-US" w:eastAsia="zh-CN"/>
        </w:rPr>
        <w:t>标准执行分析</w:t>
      </w:r>
      <w:r>
        <w:rPr>
          <w:rFonts w:hint="eastAsia" w:cs="Times New Roman"/>
          <w:b w:val="0"/>
          <w:sz w:val="21"/>
          <w:szCs w:val="22"/>
          <w:lang w:val="en-US" w:eastAsia="zh-CN"/>
        </w:rPr>
        <w:t>；监测频次不少于每季度1次。废水如果达GB 8978标准可排放。</w:t>
      </w:r>
    </w:p>
    <w:p w14:paraId="3A15FF9F">
      <w:pPr>
        <w:numPr>
          <w:ilvl w:val="-1"/>
          <w:numId w:val="0"/>
        </w:numPr>
        <w:spacing w:before="0" w:line="360" w:lineRule="auto"/>
        <w:ind w:left="0" w:firstLine="0" w:firstLineChars="0"/>
        <w:outlineLvl w:val="9"/>
        <w:rPr>
          <w:rFonts w:hint="default" w:cs="Times New Roman"/>
          <w:b w:val="0"/>
          <w:sz w:val="21"/>
          <w:szCs w:val="22"/>
          <w:lang w:val="en-US" w:eastAsia="zh-CN"/>
        </w:rPr>
      </w:pPr>
      <w:r>
        <w:rPr>
          <w:rFonts w:hint="eastAsia" w:ascii="黑体" w:hAnsi="黑体" w:eastAsia="黑体" w:cs="黑体"/>
          <w:b w:val="0"/>
          <w:bCs w:val="0"/>
          <w:sz w:val="21"/>
          <w:szCs w:val="22"/>
          <w:lang w:val="en-US" w:eastAsia="zh-CN"/>
        </w:rPr>
        <w:t>9.1.3</w:t>
      </w:r>
      <w:r>
        <w:rPr>
          <w:rFonts w:hint="default" w:ascii="Times New Roman" w:hAnsi="Times New Roman" w:eastAsia="宋体" w:cs="Times New Roman"/>
          <w:b w:val="0"/>
          <w:sz w:val="21"/>
          <w:szCs w:val="22"/>
          <w:lang w:val="en-US" w:eastAsia="zh-CN"/>
        </w:rPr>
        <w:t xml:space="preserve"> </w:t>
      </w:r>
      <w:r>
        <w:rPr>
          <w:rFonts w:hint="eastAsia" w:cs="Times New Roman"/>
          <w:b w:val="0"/>
          <w:sz w:val="21"/>
          <w:szCs w:val="22"/>
          <w:lang w:val="en-US" w:eastAsia="zh-CN"/>
        </w:rPr>
        <w:t>大气</w:t>
      </w:r>
      <w:r>
        <w:rPr>
          <w:rFonts w:hint="default" w:ascii="Times New Roman" w:hAnsi="Times New Roman" w:eastAsia="宋体" w:cs="Times New Roman"/>
          <w:b w:val="0"/>
          <w:sz w:val="21"/>
          <w:szCs w:val="22"/>
          <w:lang w:val="en-US" w:eastAsia="zh-CN"/>
        </w:rPr>
        <w:t>监测</w:t>
      </w:r>
      <w:r>
        <w:rPr>
          <w:rFonts w:hint="eastAsia" w:cs="Times New Roman"/>
          <w:b w:val="0"/>
          <w:sz w:val="21"/>
          <w:szCs w:val="22"/>
          <w:lang w:val="en-US" w:eastAsia="zh-CN"/>
        </w:rPr>
        <w:t>。在地表矿坑回填过程中，根据主要监测污染源下风方向设置采样点，采样点布设、采样及分析参照GB 16297</w:t>
      </w:r>
      <w:r>
        <w:rPr>
          <w:rFonts w:hint="eastAsia" w:cs="Times New Roman"/>
          <w:szCs w:val="21"/>
          <w:lang w:val="en-US" w:eastAsia="zh-CN"/>
        </w:rPr>
        <w:t>标准执行；</w:t>
      </w:r>
      <w:r>
        <w:rPr>
          <w:rFonts w:hint="eastAsia" w:cs="Times New Roman"/>
          <w:b w:val="0"/>
          <w:sz w:val="21"/>
          <w:szCs w:val="22"/>
          <w:lang w:val="en-US" w:eastAsia="zh-CN"/>
        </w:rPr>
        <w:t>监测频次不少于每季度1次。</w:t>
      </w:r>
    </w:p>
    <w:p w14:paraId="7027B913">
      <w:pPr>
        <w:numPr>
          <w:ilvl w:val="-1"/>
          <w:numId w:val="0"/>
        </w:numPr>
        <w:spacing w:before="0" w:line="360" w:lineRule="auto"/>
        <w:ind w:left="0" w:firstLine="0" w:firstLineChars="0"/>
        <w:outlineLvl w:val="9"/>
        <w:rPr>
          <w:rFonts w:hint="default" w:cs="Times New Roman"/>
          <w:b w:val="0"/>
          <w:sz w:val="21"/>
          <w:szCs w:val="22"/>
          <w:lang w:val="en-US" w:eastAsia="zh-CN"/>
        </w:rPr>
      </w:pPr>
      <w:r>
        <w:rPr>
          <w:rFonts w:hint="eastAsia" w:ascii="黑体" w:hAnsi="黑体" w:eastAsia="黑体" w:cs="黑体"/>
          <w:b w:val="0"/>
          <w:bCs w:val="0"/>
          <w:sz w:val="21"/>
          <w:szCs w:val="22"/>
          <w:lang w:val="en-US" w:eastAsia="zh-CN"/>
        </w:rPr>
        <w:t>9.1.4</w:t>
      </w:r>
      <w:r>
        <w:rPr>
          <w:rFonts w:hint="default" w:ascii="Times New Roman" w:hAnsi="Times New Roman" w:eastAsia="宋体" w:cs="Times New Roman"/>
          <w:b w:val="0"/>
          <w:sz w:val="21"/>
          <w:szCs w:val="22"/>
          <w:lang w:val="en-US" w:eastAsia="zh-CN"/>
        </w:rPr>
        <w:t xml:space="preserve"> </w:t>
      </w:r>
      <w:r>
        <w:rPr>
          <w:rFonts w:hint="eastAsia" w:cs="Times New Roman"/>
          <w:b w:val="0"/>
          <w:sz w:val="21"/>
          <w:szCs w:val="22"/>
          <w:lang w:val="en-US" w:eastAsia="zh-CN"/>
        </w:rPr>
        <w:t>噪声</w:t>
      </w:r>
      <w:r>
        <w:rPr>
          <w:rFonts w:hint="default" w:ascii="Times New Roman" w:hAnsi="Times New Roman" w:eastAsia="宋体" w:cs="Times New Roman"/>
          <w:b w:val="0"/>
          <w:sz w:val="21"/>
          <w:szCs w:val="22"/>
          <w:lang w:val="en-US" w:eastAsia="zh-CN"/>
        </w:rPr>
        <w:t>监测</w:t>
      </w:r>
      <w:r>
        <w:rPr>
          <w:rFonts w:hint="eastAsia" w:cs="Times New Roman"/>
          <w:b w:val="0"/>
          <w:sz w:val="21"/>
          <w:szCs w:val="22"/>
          <w:lang w:val="en-US" w:eastAsia="zh-CN"/>
        </w:rPr>
        <w:t>。在地表矿坑回填过程中，噪声测量方法和环境噪声排放限制应遵循GB 12523的相关要求。</w:t>
      </w:r>
    </w:p>
    <w:p w14:paraId="4F36BEC0">
      <w:pPr>
        <w:spacing w:before="0" w:after="0" w:line="480" w:lineRule="auto"/>
        <w:rPr>
          <w:rFonts w:hint="default" w:ascii="黑体" w:hAnsi="黑体" w:eastAsia="黑体" w:cs="Times New Roman"/>
          <w:b w:val="0"/>
          <w:color w:val="000000" w:themeColor="text1"/>
          <w:sz w:val="21"/>
          <w:szCs w:val="21"/>
          <w:lang w:val="en-US" w:eastAsia="zh-CN"/>
          <w14:textFill>
            <w14:solidFill>
              <w14:schemeClr w14:val="tx1"/>
            </w14:solidFill>
          </w14:textFill>
        </w:rPr>
      </w:pPr>
      <w:r>
        <w:rPr>
          <w:rFonts w:hint="eastAsia" w:ascii="黑体" w:hAnsi="黑体" w:eastAsia="黑体" w:cs="Times New Roman"/>
          <w:b w:val="0"/>
          <w:color w:val="000000" w:themeColor="text1"/>
          <w:sz w:val="21"/>
          <w:szCs w:val="21"/>
          <w:lang w:val="en-US" w:eastAsia="zh-CN"/>
          <w14:textFill>
            <w14:solidFill>
              <w14:schemeClr w14:val="tx1"/>
            </w14:solidFill>
          </w14:textFill>
        </w:rPr>
        <w:t>9.2后期监测</w:t>
      </w:r>
    </w:p>
    <w:p w14:paraId="6699220F">
      <w:pPr>
        <w:numPr>
          <w:ilvl w:val="-1"/>
          <w:numId w:val="0"/>
        </w:numPr>
        <w:spacing w:before="0" w:line="360" w:lineRule="auto"/>
        <w:ind w:left="0" w:firstLine="0" w:firstLineChars="0"/>
        <w:outlineLvl w:val="9"/>
        <w:rPr>
          <w:rFonts w:hint="default" w:ascii="Times New Roman" w:hAnsi="Times New Roman" w:eastAsia="宋体" w:cs="Times New Roman"/>
          <w:b w:val="0"/>
          <w:sz w:val="21"/>
          <w:szCs w:val="22"/>
          <w:lang w:val="en-US" w:eastAsia="zh-CN"/>
        </w:rPr>
      </w:pPr>
      <w:r>
        <w:rPr>
          <w:rFonts w:hint="eastAsia" w:ascii="黑体" w:hAnsi="黑体" w:eastAsia="黑体" w:cs="黑体"/>
          <w:b w:val="0"/>
          <w:bCs w:val="0"/>
          <w:sz w:val="21"/>
          <w:szCs w:val="22"/>
          <w:lang w:val="en-US" w:eastAsia="zh-CN"/>
        </w:rPr>
        <w:t>9.2.1</w:t>
      </w:r>
      <w:r>
        <w:rPr>
          <w:rFonts w:hint="default" w:ascii="Times New Roman" w:hAnsi="Times New Roman" w:eastAsia="宋体" w:cs="Times New Roman"/>
          <w:b w:val="0"/>
          <w:sz w:val="21"/>
          <w:szCs w:val="22"/>
          <w:lang w:val="en-US" w:eastAsia="zh-CN"/>
        </w:rPr>
        <w:t xml:space="preserve"> 土壤</w:t>
      </w:r>
      <w:r>
        <w:rPr>
          <w:rFonts w:hint="eastAsia" w:cs="Times New Roman"/>
          <w:b w:val="0"/>
          <w:sz w:val="21"/>
          <w:szCs w:val="22"/>
          <w:lang w:val="en-US" w:eastAsia="zh-CN"/>
        </w:rPr>
        <w:t>、地表水和地下水</w:t>
      </w:r>
      <w:r>
        <w:rPr>
          <w:rFonts w:hint="default" w:ascii="Times New Roman" w:hAnsi="Times New Roman" w:eastAsia="宋体" w:cs="Times New Roman"/>
          <w:b w:val="0"/>
          <w:sz w:val="21"/>
          <w:szCs w:val="22"/>
          <w:lang w:val="en-US" w:eastAsia="zh-CN"/>
        </w:rPr>
        <w:t>监测</w:t>
      </w:r>
      <w:r>
        <w:rPr>
          <w:rFonts w:hint="eastAsia" w:cs="Times New Roman"/>
          <w:b w:val="0"/>
          <w:sz w:val="21"/>
          <w:szCs w:val="22"/>
          <w:lang w:val="en-US" w:eastAsia="zh-CN"/>
        </w:rPr>
        <w:t>。在生态恢复后，</w:t>
      </w:r>
      <w:r>
        <w:rPr>
          <w:rFonts w:hint="default" w:ascii="Times New Roman" w:hAnsi="Times New Roman" w:eastAsia="宋体" w:cs="Times New Roman"/>
          <w:b w:val="0"/>
          <w:sz w:val="21"/>
          <w:szCs w:val="22"/>
          <w:lang w:val="en-US" w:eastAsia="zh-CN"/>
        </w:rPr>
        <w:t>土壤</w:t>
      </w:r>
      <w:r>
        <w:rPr>
          <w:rFonts w:hint="eastAsia" w:cs="Times New Roman"/>
          <w:b w:val="0"/>
          <w:sz w:val="21"/>
          <w:szCs w:val="22"/>
          <w:lang w:val="en-US" w:eastAsia="zh-CN"/>
        </w:rPr>
        <w:t>、地表水和地下水等环境质量监测按本文件5.3执行监测。土壤监测频次不少于每年1次；地表水监测频次为季节性监测；地下水监测频次为每年在丰水期、平水期和枯水期至少每年1次。直到相关指标在连续三年内未超过环境质量本底水平值的20%。</w:t>
      </w:r>
    </w:p>
    <w:p w14:paraId="341EFFD3">
      <w:pPr>
        <w:numPr>
          <w:ilvl w:val="-1"/>
          <w:numId w:val="0"/>
        </w:numPr>
        <w:spacing w:before="0" w:line="360" w:lineRule="auto"/>
        <w:ind w:left="0" w:firstLine="0" w:firstLineChars="0"/>
        <w:outlineLvl w:val="9"/>
        <w:rPr>
          <w:rFonts w:hint="eastAsia" w:cs="Times New Roman"/>
          <w:b w:val="0"/>
          <w:sz w:val="21"/>
          <w:szCs w:val="22"/>
          <w:lang w:val="en-US" w:eastAsia="zh-CN"/>
        </w:rPr>
      </w:pPr>
      <w:r>
        <w:rPr>
          <w:rFonts w:hint="eastAsia" w:ascii="黑体" w:hAnsi="黑体" w:eastAsia="黑体" w:cs="黑体"/>
          <w:b w:val="0"/>
          <w:bCs w:val="0"/>
          <w:sz w:val="21"/>
          <w:szCs w:val="22"/>
          <w:lang w:val="en-US" w:eastAsia="zh-CN"/>
        </w:rPr>
        <w:t>9.2.2</w:t>
      </w:r>
      <w:r>
        <w:rPr>
          <w:rFonts w:hint="default" w:ascii="Times New Roman" w:hAnsi="Times New Roman" w:eastAsia="宋体" w:cs="Times New Roman"/>
          <w:b w:val="0"/>
          <w:sz w:val="21"/>
          <w:szCs w:val="22"/>
          <w:lang w:val="en-US" w:eastAsia="zh-CN"/>
        </w:rPr>
        <w:t xml:space="preserve"> </w:t>
      </w:r>
      <w:r>
        <w:rPr>
          <w:rFonts w:hint="eastAsia" w:ascii="Times New Roman" w:hAnsi="Times New Roman" w:eastAsia="宋体" w:cs="Times New Roman"/>
          <w:b w:val="0"/>
          <w:sz w:val="21"/>
          <w:szCs w:val="22"/>
          <w:lang w:val="en-US" w:eastAsia="zh-CN"/>
        </w:rPr>
        <w:t>生态系统调查监测</w:t>
      </w:r>
      <w:r>
        <w:rPr>
          <w:rFonts w:hint="eastAsia" w:cs="Times New Roman"/>
          <w:b w:val="0"/>
          <w:sz w:val="21"/>
          <w:szCs w:val="22"/>
          <w:lang w:val="en-US" w:eastAsia="zh-CN"/>
        </w:rPr>
        <w:t>。在生态恢复后，可根据实际需求对回填及周边区域生态系统的质量、生物多样性、植物群落特征、土壤动物、土壤微生物等指标进行监测，参照GB/T 32740和HJ 1172标准执行分析，监测频次原则上每年1次。</w:t>
      </w:r>
    </w:p>
    <w:bookmarkEnd w:id="42"/>
    <w:p w14:paraId="1DE12153">
      <w:pPr>
        <w:numPr>
          <w:ilvl w:val="0"/>
          <w:numId w:val="2"/>
        </w:numPr>
        <w:spacing w:before="0" w:line="720" w:lineRule="auto"/>
        <w:ind w:left="0"/>
        <w:outlineLvl w:val="0"/>
        <w:rPr>
          <w:rFonts w:hint="default" w:ascii="黑体" w:hAnsi="黑体" w:eastAsia="黑体" w:cs="Times New Roman"/>
          <w:color w:val="000000" w:themeColor="text1"/>
          <w:lang w:val="en-US" w:eastAsia="zh-CN"/>
          <w14:textFill>
            <w14:solidFill>
              <w14:schemeClr w14:val="tx1"/>
            </w14:solidFill>
          </w14:textFill>
        </w:rPr>
      </w:pPr>
      <w:bookmarkStart w:id="43" w:name="_Toc30025"/>
      <w:bookmarkStart w:id="44" w:name="_Toc22490"/>
      <w:r>
        <w:rPr>
          <w:rFonts w:hint="eastAsia" w:ascii="黑体" w:hAnsi="黑体" w:eastAsia="黑体" w:cs="Times New Roman"/>
          <w:color w:val="000000" w:themeColor="text1"/>
          <w:lang w:val="en-US" w:eastAsia="zh-CN"/>
          <w14:textFill>
            <w14:solidFill>
              <w14:schemeClr w14:val="tx1"/>
            </w14:solidFill>
          </w14:textFill>
        </w:rPr>
        <w:t>环境管理</w:t>
      </w:r>
      <w:bookmarkEnd w:id="43"/>
      <w:bookmarkEnd w:id="44"/>
    </w:p>
    <w:p w14:paraId="32C53AE1">
      <w:pPr>
        <w:numPr>
          <w:ilvl w:val="0"/>
          <w:numId w:val="0"/>
        </w:numPr>
        <w:spacing w:line="360" w:lineRule="auto"/>
        <w:ind w:firstLine="0" w:firstLineChars="0"/>
        <w:outlineLvl w:val="9"/>
        <w:rPr>
          <w:rFonts w:hint="default" w:ascii="Times New Roman" w:hAnsi="Times New Roman" w:eastAsia="宋体" w:cs="Times New Roman"/>
          <w:b w:val="0"/>
          <w:sz w:val="21"/>
          <w:szCs w:val="22"/>
          <w:lang w:val="en-US" w:eastAsia="zh-CN"/>
        </w:rPr>
      </w:pPr>
      <w:r>
        <w:rPr>
          <w:rFonts w:hint="eastAsia" w:ascii="黑体" w:hAnsi="黑体" w:eastAsia="黑体" w:cs="Times New Roman"/>
          <w:b w:val="0"/>
          <w:color w:val="000000" w:themeColor="text1"/>
          <w:sz w:val="21"/>
          <w:szCs w:val="21"/>
          <w:lang w:val="en-US" w:eastAsia="zh-CN"/>
          <w14:textFill>
            <w14:solidFill>
              <w14:schemeClr w14:val="tx1"/>
            </w14:solidFill>
          </w14:textFill>
        </w:rPr>
        <w:t>10.1</w:t>
      </w:r>
      <w:r>
        <w:rPr>
          <w:rFonts w:hint="eastAsia" w:cs="Times New Roman"/>
          <w:b w:val="0"/>
          <w:sz w:val="21"/>
          <w:szCs w:val="22"/>
          <w:lang w:val="en-US" w:eastAsia="zh-CN"/>
        </w:rPr>
        <w:t>过程管理</w:t>
      </w:r>
      <w:r>
        <w:rPr>
          <w:rFonts w:hint="eastAsia" w:ascii="Times New Roman" w:hAnsi="Times New Roman" w:eastAsia="宋体" w:cs="Times New Roman"/>
          <w:b w:val="0"/>
          <w:sz w:val="21"/>
          <w:szCs w:val="22"/>
          <w:lang w:val="en-US" w:eastAsia="zh-CN"/>
        </w:rPr>
        <w:t>。在实施地表矿坑回填及生态恢复工程的过程中，应合理安排作业并密切关注环境监测结果，同时定期检查工程设施，及时处理发现的异常情况</w:t>
      </w:r>
      <w:r>
        <w:rPr>
          <w:rFonts w:hint="eastAsia" w:cs="Times New Roman"/>
          <w:lang w:val="en-US" w:eastAsia="zh-CN"/>
        </w:rPr>
        <w:t>。</w:t>
      </w:r>
    </w:p>
    <w:p w14:paraId="01CA69E8">
      <w:pPr>
        <w:numPr>
          <w:ilvl w:val="0"/>
          <w:numId w:val="0"/>
        </w:numPr>
        <w:spacing w:line="360" w:lineRule="auto"/>
        <w:ind w:firstLine="0" w:firstLineChars="0"/>
        <w:outlineLvl w:val="9"/>
        <w:rPr>
          <w:rFonts w:hint="default" w:ascii="Times New Roman" w:hAnsi="Times New Roman" w:cs="Times New Roman"/>
          <w:lang w:val="en-US" w:eastAsia="zh-CN"/>
        </w:rPr>
      </w:pPr>
      <w:r>
        <w:rPr>
          <w:rFonts w:hint="eastAsia" w:ascii="黑体" w:hAnsi="黑体" w:eastAsia="黑体" w:cs="Times New Roman"/>
          <w:b w:val="0"/>
          <w:color w:val="000000" w:themeColor="text1"/>
          <w:sz w:val="21"/>
          <w:szCs w:val="21"/>
          <w:lang w:val="en-US" w:eastAsia="zh-CN"/>
          <w14:textFill>
            <w14:solidFill>
              <w14:schemeClr w14:val="tx1"/>
            </w14:solidFill>
          </w14:textFill>
        </w:rPr>
        <w:t>10.2</w:t>
      </w:r>
      <w:r>
        <w:rPr>
          <w:rFonts w:hint="eastAsia" w:cs="Times New Roman"/>
          <w:b w:val="0"/>
          <w:sz w:val="21"/>
          <w:szCs w:val="22"/>
          <w:lang w:val="en-US" w:eastAsia="zh-CN"/>
        </w:rPr>
        <w:t>后期管理</w:t>
      </w:r>
      <w:r>
        <w:rPr>
          <w:rFonts w:hint="eastAsia" w:ascii="Times New Roman" w:hAnsi="Times New Roman" w:eastAsia="宋体" w:cs="Times New Roman"/>
          <w:b w:val="0"/>
          <w:sz w:val="21"/>
          <w:szCs w:val="22"/>
          <w:lang w:val="en-US" w:eastAsia="zh-CN"/>
        </w:rPr>
        <w:t>。在实施地表矿坑回填及生态恢复工程</w:t>
      </w:r>
      <w:r>
        <w:rPr>
          <w:rFonts w:hint="eastAsia" w:cs="Times New Roman"/>
          <w:b w:val="0"/>
          <w:sz w:val="21"/>
          <w:szCs w:val="22"/>
          <w:lang w:val="en-US" w:eastAsia="zh-CN"/>
        </w:rPr>
        <w:t>完成后</w:t>
      </w:r>
      <w:r>
        <w:rPr>
          <w:rFonts w:hint="eastAsia" w:cs="Times New Roman"/>
          <w:lang w:val="en-US" w:eastAsia="zh-CN"/>
        </w:rPr>
        <w:t>，应建立长期维护管理制度，保存相关工作记录，并在修复后场区边界外设置明显标识牌，指明施工完成时间及进入和使用土地时的注意事项。</w:t>
      </w:r>
    </w:p>
    <w:p w14:paraId="6F2665EF">
      <w:pPr>
        <w:numPr>
          <w:ilvl w:val="0"/>
          <w:numId w:val="0"/>
        </w:numPr>
        <w:spacing w:line="360" w:lineRule="auto"/>
        <w:ind w:firstLine="0" w:firstLineChars="0"/>
        <w:outlineLvl w:val="9"/>
        <w:rPr>
          <w:rFonts w:hint="default" w:ascii="Times New Roman" w:hAnsi="Times New Roman" w:cs="Times New Roman"/>
          <w:lang w:val="en-US" w:eastAsia="zh-CN"/>
        </w:rPr>
      </w:pPr>
      <w:r>
        <w:rPr>
          <w:rFonts w:hint="eastAsia" w:ascii="黑体" w:hAnsi="黑体" w:eastAsia="黑体" w:cs="Times New Roman"/>
          <w:b w:val="0"/>
          <w:color w:val="000000" w:themeColor="text1"/>
          <w:sz w:val="21"/>
          <w:szCs w:val="21"/>
          <w:lang w:val="en-US" w:eastAsia="zh-CN"/>
          <w14:textFill>
            <w14:solidFill>
              <w14:schemeClr w14:val="tx1"/>
            </w14:solidFill>
          </w14:textFill>
        </w:rPr>
        <w:t>10.3</w:t>
      </w:r>
      <w:r>
        <w:rPr>
          <w:rFonts w:hint="eastAsia" w:ascii="Times New Roman" w:hAnsi="Times New Roman" w:eastAsia="宋体" w:cs="Times New Roman"/>
          <w:b w:val="0"/>
          <w:sz w:val="21"/>
          <w:szCs w:val="22"/>
          <w:lang w:val="en-US" w:eastAsia="zh-CN"/>
        </w:rPr>
        <w:t>档案管理。</w:t>
      </w:r>
      <w:r>
        <w:rPr>
          <w:rFonts w:hint="default" w:ascii="Times New Roman" w:hAnsi="Times New Roman" w:cs="Times New Roman"/>
          <w:lang w:val="en-US" w:eastAsia="zh-CN"/>
        </w:rPr>
        <w:t>实施</w:t>
      </w:r>
      <w:r>
        <w:rPr>
          <w:rFonts w:hint="eastAsia" w:ascii="Times New Roman" w:hAnsi="Times New Roman" w:cs="Times New Roman"/>
          <w:lang w:val="en-US" w:eastAsia="zh-CN"/>
        </w:rPr>
        <w:t>地表矿坑回填及生态恢复工程应加强全过程档案管理，</w:t>
      </w:r>
      <w:r>
        <w:rPr>
          <w:rFonts w:hint="default" w:ascii="Times New Roman" w:hAnsi="Times New Roman" w:cs="Times New Roman"/>
          <w:lang w:val="en-US" w:eastAsia="zh-CN"/>
        </w:rPr>
        <w:t>并依照国家档案管理等相关法律法规进行整理与归档</w:t>
      </w:r>
      <w:r>
        <w:rPr>
          <w:rFonts w:hint="eastAsia" w:cs="Times New Roman"/>
          <w:lang w:val="en-US" w:eastAsia="zh-CN"/>
        </w:rPr>
        <w:t>，</w:t>
      </w:r>
      <w:r>
        <w:rPr>
          <w:rFonts w:hint="eastAsia" w:ascii="Times New Roman" w:hAnsi="Times New Roman" w:cs="Times New Roman"/>
          <w:lang w:val="en-US" w:eastAsia="zh-CN"/>
        </w:rPr>
        <w:t>涵盖项目立项、设计、施工、监测到验收的关键数据与信息，包含技术方案、设计图纸、施工记录、环境监测数据及生态恢复评估等，确保档案规范、合规、完整、准确，并长期保存</w:t>
      </w:r>
      <w:r>
        <w:rPr>
          <w:rFonts w:hint="default" w:ascii="Times New Roman" w:hAnsi="Times New Roman" w:cs="Times New Roman"/>
          <w:lang w:val="en-US" w:eastAsia="zh-CN"/>
        </w:rPr>
        <w:t>。</w:t>
      </w:r>
    </w:p>
    <w:p w14:paraId="3CD1EBF4">
      <w:pPr>
        <w:spacing w:line="360" w:lineRule="auto"/>
        <w:rPr>
          <w:rFonts w:hint="default" w:ascii="Times New Roman" w:hAnsi="Times New Roman" w:cs="Times New Roman"/>
          <w:highlight w:val="yellow"/>
          <w:lang w:val="en-US" w:eastAsia="zh-CN"/>
        </w:rPr>
        <w:sectPr>
          <w:headerReference r:id="rId10" w:type="default"/>
          <w:footerReference r:id="rId12" w:type="default"/>
          <w:headerReference r:id="rId11" w:type="even"/>
          <w:footerReference r:id="rId13" w:type="even"/>
          <w:pgSz w:w="11906" w:h="16838"/>
          <w:pgMar w:top="1417" w:right="1134" w:bottom="1134" w:left="1417" w:header="1020" w:footer="850" w:gutter="0"/>
          <w:pgNumType w:fmt="decimal" w:start="1"/>
          <w:cols w:space="0" w:num="1"/>
          <w:rtlGutter w:val="0"/>
          <w:docGrid w:type="lines" w:linePitch="312" w:charSpace="0"/>
        </w:sectPr>
      </w:pPr>
      <w:bookmarkStart w:id="45" w:name="_Toc395187810"/>
      <w:bookmarkStart w:id="46" w:name="_Toc511393205"/>
      <w:bookmarkStart w:id="47" w:name="_Toc481504351"/>
    </w:p>
    <w:p w14:paraId="44351251">
      <w:pPr>
        <w:rPr>
          <w:rFonts w:hint="default" w:ascii="Times New Roman" w:hAnsi="Times New Roman" w:cs="Times New Roman" w:eastAsiaTheme="minorEastAsia"/>
          <w:lang w:val="en-US" w:eastAsia="zh-CN"/>
        </w:rPr>
      </w:pPr>
    </w:p>
    <w:p w14:paraId="754E5014">
      <w:pPr>
        <w:pStyle w:val="6"/>
        <w:jc w:val="center"/>
        <w:rPr>
          <w:rFonts w:hint="default" w:ascii="Times New Roman" w:hAnsi="Times New Roman" w:cs="Times New Roman"/>
          <w:sz w:val="28"/>
          <w:szCs w:val="28"/>
          <w:lang w:val="en-US" w:eastAsia="zh-CN"/>
        </w:rPr>
      </w:pPr>
      <w:r>
        <w:rPr>
          <w:rFonts w:hint="default" w:ascii="Times New Roman" w:hAnsi="Times New Roman" w:cs="Times New Roman"/>
          <w:sz w:val="24"/>
          <w:szCs w:val="24"/>
          <w:lang w:val="en-US" w:eastAsia="zh-CN"/>
        </w:rPr>
        <w:t>附录</w:t>
      </w:r>
      <w:r>
        <w:rPr>
          <w:rFonts w:hint="eastAsia" w:ascii="Times New Roman" w:hAnsi="Times New Roman" w:cs="Times New Roman"/>
          <w:sz w:val="24"/>
          <w:szCs w:val="24"/>
          <w:lang w:val="en-US" w:eastAsia="zh-CN"/>
        </w:rPr>
        <w:t>A</w:t>
      </w:r>
    </w:p>
    <w:p w14:paraId="2065FF6D">
      <w:pPr>
        <w:jc w:val="center"/>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(资料性)</w:t>
      </w:r>
    </w:p>
    <w:p w14:paraId="6C223AD7">
      <w:pPr>
        <w:jc w:val="center"/>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浸出毒性及毒性物质含量限值要求</w:t>
      </w:r>
    </w:p>
    <w:p w14:paraId="7015DEB4">
      <w:pPr>
        <w:rPr>
          <w:rFonts w:hint="default" w:ascii="Times New Roman" w:hAnsi="Times New Roman" w:cs="Times New Roman"/>
          <w:lang w:val="en-US" w:eastAsia="zh-CN"/>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浸出毒性及毒性物质含量限值要求见表</w:t>
      </w:r>
      <w:r>
        <w:rPr>
          <w:rFonts w:hint="eastAsia" w:cs="Times New Roman"/>
          <w:b w:val="0"/>
          <w:bCs w:val="0"/>
          <w:color w:val="000000" w:themeColor="text1"/>
          <w:sz w:val="21"/>
          <w:szCs w:val="21"/>
          <w:lang w:val="en-US" w:eastAsia="zh-CN"/>
          <w14:textFill>
            <w14:solidFill>
              <w14:schemeClr w14:val="tx1"/>
            </w14:solidFill>
          </w14:textFill>
        </w:rPr>
        <w:t>A</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.1</w:t>
      </w:r>
    </w:p>
    <w:p w14:paraId="761ACDB3">
      <w:pPr>
        <w:pStyle w:val="6"/>
        <w:jc w:val="cente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p>
    <w:p w14:paraId="21350FA4">
      <w:pPr>
        <w:pStyle w:val="6"/>
        <w:jc w:val="cente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表</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A</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.1 浸出毒性及毒性物质含量限值要求</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683"/>
        <w:gridCol w:w="1500"/>
        <w:gridCol w:w="4727"/>
      </w:tblGrid>
      <w:tr w14:paraId="1FFEF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14:paraId="53F33FEF">
            <w:pPr>
              <w:pStyle w:val="6"/>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序号</w:t>
            </w:r>
          </w:p>
        </w:tc>
        <w:tc>
          <w:tcPr>
            <w:tcW w:w="2683" w:type="dxa"/>
          </w:tcPr>
          <w:p w14:paraId="07094F6D">
            <w:pPr>
              <w:pStyle w:val="6"/>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污染物项目</w:t>
            </w:r>
          </w:p>
        </w:tc>
        <w:tc>
          <w:tcPr>
            <w:tcW w:w="1500" w:type="dxa"/>
          </w:tcPr>
          <w:p w14:paraId="45FE3AC5">
            <w:pPr>
              <w:pStyle w:val="6"/>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指标</w:t>
            </w:r>
          </w:p>
        </w:tc>
        <w:tc>
          <w:tcPr>
            <w:tcW w:w="4727" w:type="dxa"/>
          </w:tcPr>
          <w:p w14:paraId="1CBED6B0">
            <w:pPr>
              <w:pStyle w:val="6"/>
              <w:spacing w:line="240" w:lineRule="auto"/>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毒性物质含量限制</w:t>
            </w:r>
          </w:p>
        </w:tc>
      </w:tr>
      <w:tr w14:paraId="65411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14:paraId="6744EB49">
            <w:pPr>
              <w:pStyle w:val="6"/>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w:t>
            </w:r>
          </w:p>
        </w:tc>
        <w:tc>
          <w:tcPr>
            <w:tcW w:w="2683" w:type="dxa"/>
          </w:tcPr>
          <w:p w14:paraId="27E50A44">
            <w:pPr>
              <w:pStyle w:val="6"/>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pH</w:t>
            </w:r>
          </w:p>
        </w:tc>
        <w:tc>
          <w:tcPr>
            <w:tcW w:w="1500" w:type="dxa"/>
          </w:tcPr>
          <w:p w14:paraId="01B66533">
            <w:pPr>
              <w:pStyle w:val="6"/>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6~9</w:t>
            </w:r>
          </w:p>
        </w:tc>
        <w:tc>
          <w:tcPr>
            <w:tcW w:w="4727" w:type="dxa"/>
            <w:vMerge w:val="restart"/>
          </w:tcPr>
          <w:p w14:paraId="36A44574">
            <w:pPr>
              <w:pStyle w:val="6"/>
              <w:spacing w:line="600" w:lineRule="auto"/>
              <w:jc w:val="center"/>
              <w:rPr>
                <w:rFonts w:hint="default" w:hAnsi="Cambria Math" w:eastAsia="宋体" w:cs="Times New Roman"/>
                <w:i w:val="0"/>
                <w:lang w:val="en-US" w:eastAsia="zh-CN"/>
              </w:rPr>
            </w:pPr>
          </w:p>
          <w:p w14:paraId="270ACC98">
            <w:pPr>
              <w:pStyle w:val="6"/>
              <w:spacing w:line="600" w:lineRule="auto"/>
              <w:jc w:val="center"/>
              <w:rPr>
                <w:rFonts w:hint="default" w:hAnsi="Cambria Math" w:eastAsia="宋体" w:cs="Times New Roman"/>
                <w:i w:val="0"/>
                <w:lang w:val="en-US" w:eastAsia="zh-CN"/>
              </w:rPr>
            </w:pPr>
          </w:p>
          <w:p w14:paraId="7ABDBD28">
            <w:pPr>
              <w:pStyle w:val="6"/>
              <w:spacing w:line="600" w:lineRule="auto"/>
              <w:jc w:val="center"/>
              <w:rPr>
                <w:rFonts w:hint="eastAsia" w:ascii="Times New Roman" w:hAnsi="Times New Roman" w:eastAsia="黑体" w:cs="Times New Roman"/>
                <w:lang w:val="en-US" w:eastAsia="zh-CN"/>
              </w:rPr>
            </w:pPr>
            <m:oMathPara>
              <m:oMathParaPr>
                <m:jc m:val="center"/>
              </m:oMathParaPr>
              <m:oMath>
                <m:f>
                  <m:fPr>
                    <m:ctrlPr>
                      <w:rPr>
                        <w:rFonts w:hint="default" w:ascii="Cambria Math" w:hAnsi="Cambria Math" w:eastAsia="宋体" w:cs="Times New Roman"/>
                        <w:i w:val="0"/>
                        <w:lang w:val="en-US" w:eastAsia="zh-CN"/>
                      </w:rPr>
                    </m:ctrlPr>
                  </m:fPr>
                  <m:num>
                    <m:r>
                      <m:rPr>
                        <m:sty m:val="p"/>
                      </m:rPr>
                      <w:rPr>
                        <w:rFonts w:hint="default" w:ascii="Cambria Math" w:hAnsi="Cambria Math" w:eastAsia="宋体" w:cs="Times New Roman"/>
                        <w:lang w:val="en-US" w:eastAsia="zh-CN"/>
                      </w:rPr>
                      <m:t>12Be+3Cr+3Ni+3As+2Cd+2TI+3Se</m:t>
                    </m:r>
                    <m:ctrlPr>
                      <w:rPr>
                        <w:rFonts w:hint="default" w:ascii="Cambria Math" w:hAnsi="Cambria Math" w:eastAsia="宋体" w:cs="Times New Roman"/>
                        <w:i w:val="0"/>
                        <w:lang w:val="en-US" w:eastAsia="zh-CN"/>
                      </w:rPr>
                    </m:ctrlPr>
                  </m:num>
                  <m:den>
                    <m:r>
                      <m:rPr>
                        <m:sty m:val="p"/>
                      </m:rPr>
                      <w:rPr>
                        <w:rFonts w:hint="default" w:ascii="Cambria Math" w:hAnsi="Cambria Math" w:eastAsia="宋体" w:cs="Times New Roman"/>
                        <w:lang w:val="en-US" w:eastAsia="zh-CN"/>
                      </w:rPr>
                      <m:t>1000</m:t>
                    </m:r>
                    <m:ctrlPr>
                      <w:rPr>
                        <w:rFonts w:hint="default" w:ascii="Cambria Math" w:hAnsi="Cambria Math" w:eastAsia="宋体" w:cs="Times New Roman"/>
                        <w:i w:val="0"/>
                        <w:lang w:val="en-US" w:eastAsia="zh-CN"/>
                      </w:rPr>
                    </m:ctrlPr>
                  </m:den>
                </m:f>
                <m:r>
                  <m:rPr>
                    <m:sty m:val="p"/>
                  </m:rPr>
                  <w:rPr>
                    <w:rFonts w:hint="default" w:ascii="Cambria Math" w:hAnsi="Cambria Math" w:eastAsia="宋体" w:cs="Times New Roman"/>
                    <w:lang w:val="en-US" w:eastAsia="zh-CN"/>
                  </w:rPr>
                  <m:t>+</m:t>
                </m:r>
                <m:f>
                  <m:fPr>
                    <m:ctrlPr>
                      <w:rPr>
                        <w:rFonts w:hint="default" w:ascii="Cambria Math" w:hAnsi="Cambria Math" w:eastAsia="宋体" w:cs="Times New Roman"/>
                        <w:i w:val="0"/>
                        <w:lang w:val="en-US" w:eastAsia="zh-CN"/>
                      </w:rPr>
                    </m:ctrlPr>
                  </m:fPr>
                  <m:num>
                    <m:r>
                      <m:rPr>
                        <m:sty m:val="p"/>
                      </m:rPr>
                      <w:rPr>
                        <w:rFonts w:hint="default" w:ascii="Cambria Math" w:hAnsi="Cambria Math" w:eastAsia="宋体" w:cs="Times New Roman"/>
                        <w:lang w:val="en-US" w:eastAsia="zh-CN"/>
                      </w:rPr>
                      <m:t>Mn+2Zn+2Ba</m:t>
                    </m:r>
                    <m:ctrlPr>
                      <w:rPr>
                        <w:rFonts w:hint="default" w:ascii="Cambria Math" w:hAnsi="Cambria Math" w:eastAsia="宋体" w:cs="Times New Roman"/>
                        <w:i w:val="0"/>
                        <w:lang w:val="en-US" w:eastAsia="zh-CN"/>
                      </w:rPr>
                    </m:ctrlPr>
                  </m:num>
                  <m:den>
                    <m:r>
                      <m:rPr>
                        <m:sty m:val="p"/>
                      </m:rPr>
                      <w:rPr>
                        <w:rFonts w:hint="default" w:ascii="Cambria Math" w:hAnsi="Cambria Math" w:eastAsia="宋体" w:cs="Times New Roman"/>
                        <w:lang w:val="en-US" w:eastAsia="zh-CN"/>
                      </w:rPr>
                      <m:t>30000</m:t>
                    </m:r>
                    <m:ctrlPr>
                      <w:rPr>
                        <w:rFonts w:hint="default" w:ascii="Cambria Math" w:hAnsi="Cambria Math" w:eastAsia="宋体" w:cs="Times New Roman"/>
                        <w:i w:val="0"/>
                        <w:lang w:val="en-US" w:eastAsia="zh-CN"/>
                      </w:rPr>
                    </m:ctrlPr>
                  </m:den>
                </m:f>
                <m:r>
                  <m:rPr>
                    <m:sty m:val="p"/>
                  </m:rPr>
                  <w:rPr>
                    <w:rFonts w:hint="default" w:ascii="Cambria Math" w:hAnsi="Cambria Math" w:eastAsia="宋体" w:cs="Times New Roman"/>
                    <w:lang w:val="en-US" w:eastAsia="zh-CN"/>
                  </w:rPr>
                  <m:t>+</m:t>
                </m:r>
                <m:f>
                  <m:fPr>
                    <m:ctrlPr>
                      <w:rPr>
                        <w:rFonts w:hint="default" w:ascii="Cambria Math" w:hAnsi="Cambria Math" w:eastAsia="宋体" w:cs="Times New Roman"/>
                        <w:i w:val="0"/>
                        <w:lang w:val="en-US" w:eastAsia="zh-CN"/>
                      </w:rPr>
                    </m:ctrlPr>
                  </m:fPr>
                  <m:num>
                    <m:r>
                      <m:rPr>
                        <m:sty m:val="p"/>
                      </m:rPr>
                      <w:rPr>
                        <w:rFonts w:hint="default" w:ascii="Cambria Math" w:hAnsi="Cambria Math" w:eastAsia="宋体" w:cs="Times New Roman"/>
                        <w:lang w:val="en-US" w:eastAsia="zh-CN"/>
                      </w:rPr>
                      <m:t>Pb</m:t>
                    </m:r>
                    <m:ctrlPr>
                      <w:rPr>
                        <w:rFonts w:hint="default" w:ascii="Cambria Math" w:hAnsi="Cambria Math" w:eastAsia="宋体" w:cs="Times New Roman"/>
                        <w:i w:val="0"/>
                        <w:lang w:val="en-US" w:eastAsia="zh-CN"/>
                      </w:rPr>
                    </m:ctrlPr>
                  </m:num>
                  <m:den>
                    <m:r>
                      <m:rPr>
                        <m:sty m:val="p"/>
                      </m:rPr>
                      <w:rPr>
                        <w:rFonts w:hint="default" w:ascii="Cambria Math" w:hAnsi="Cambria Math" w:eastAsia="宋体" w:cs="Times New Roman"/>
                        <w:lang w:val="en-US" w:eastAsia="zh-CN"/>
                      </w:rPr>
                      <m:t>5000</m:t>
                    </m:r>
                    <m:ctrlPr>
                      <w:rPr>
                        <w:rFonts w:hint="default" w:ascii="Cambria Math" w:hAnsi="Cambria Math" w:eastAsia="宋体" w:cs="Times New Roman"/>
                        <w:i w:val="0"/>
                        <w:lang w:val="en-US" w:eastAsia="zh-CN"/>
                      </w:rPr>
                    </m:ctrlPr>
                  </m:den>
                </m:f>
                <m:r>
                  <m:rPr>
                    <m:sty m:val="p"/>
                  </m:rPr>
                  <w:rPr>
                    <w:rFonts w:hint="default" w:ascii="Cambria Math" w:hAnsi="Cambria Math" w:eastAsia="宋体" w:cs="Times New Roman"/>
                    <w:lang w:val="en-US" w:eastAsia="zh-CN"/>
                  </w:rPr>
                  <m:t>&lt;1</m:t>
                </m:r>
              </m:oMath>
            </m:oMathPara>
          </w:p>
        </w:tc>
      </w:tr>
      <w:tr w14:paraId="3C0B6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14:paraId="5A5B3920">
            <w:pPr>
              <w:pStyle w:val="6"/>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2</w:t>
            </w:r>
          </w:p>
        </w:tc>
        <w:tc>
          <w:tcPr>
            <w:tcW w:w="2683" w:type="dxa"/>
          </w:tcPr>
          <w:p w14:paraId="4330FB45">
            <w:pPr>
              <w:pStyle w:val="6"/>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总镉（</w:t>
            </w:r>
            <w:r>
              <w:rPr>
                <w:rFonts w:hint="eastAsia" w:ascii="Times New Roman" w:hAnsi="Times New Roman" w:eastAsia="宋体" w:cs="Times New Roman"/>
                <w:lang w:val="en-US" w:eastAsia="zh-CN"/>
              </w:rPr>
              <w:t>Cd，</w:t>
            </w:r>
            <w:r>
              <w:rPr>
                <w:rFonts w:hint="default" w:ascii="Times New Roman" w:hAnsi="Times New Roman" w:eastAsia="宋体" w:cs="Times New Roman"/>
                <w:lang w:val="en-US" w:eastAsia="zh-CN"/>
              </w:rPr>
              <w:t>mg/L）</w:t>
            </w:r>
          </w:p>
        </w:tc>
        <w:tc>
          <w:tcPr>
            <w:tcW w:w="1500" w:type="dxa"/>
          </w:tcPr>
          <w:p w14:paraId="0752EE16">
            <w:pPr>
              <w:pStyle w:val="6"/>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 0.</w:t>
            </w:r>
            <w:r>
              <w:rPr>
                <w:rFonts w:hint="eastAsia" w:ascii="Times New Roman" w:hAnsi="Times New Roman" w:eastAsia="宋体" w:cs="Times New Roman"/>
                <w:lang w:val="en-US" w:eastAsia="zh-CN"/>
              </w:rPr>
              <w:t>1</w:t>
            </w:r>
          </w:p>
        </w:tc>
        <w:tc>
          <w:tcPr>
            <w:tcW w:w="4727" w:type="dxa"/>
            <w:vMerge w:val="continue"/>
          </w:tcPr>
          <w:p w14:paraId="146377FD">
            <w:pPr>
              <w:pStyle w:val="6"/>
              <w:spacing w:line="240" w:lineRule="auto"/>
              <w:jc w:val="center"/>
              <w:rPr>
                <w:rFonts w:hint="default" w:ascii="Times New Roman" w:hAnsi="Times New Roman" w:eastAsia="宋体" w:cs="Times New Roman"/>
                <w:lang w:val="en-US" w:eastAsia="zh-CN"/>
              </w:rPr>
            </w:pPr>
          </w:p>
        </w:tc>
      </w:tr>
      <w:tr w14:paraId="29566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14:paraId="7B95ACE9">
            <w:pPr>
              <w:pStyle w:val="6"/>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3</w:t>
            </w:r>
          </w:p>
        </w:tc>
        <w:tc>
          <w:tcPr>
            <w:tcW w:w="2683" w:type="dxa"/>
          </w:tcPr>
          <w:p w14:paraId="3F762686">
            <w:pPr>
              <w:pStyle w:val="6"/>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总铬（</w:t>
            </w:r>
            <w:r>
              <w:rPr>
                <w:rFonts w:hint="eastAsia" w:ascii="Times New Roman" w:hAnsi="Times New Roman" w:eastAsia="宋体" w:cs="Times New Roman"/>
                <w:lang w:val="en-US" w:eastAsia="zh-CN"/>
              </w:rPr>
              <w:t>Cr，</w:t>
            </w:r>
            <w:r>
              <w:rPr>
                <w:rFonts w:hint="default" w:ascii="Times New Roman" w:hAnsi="Times New Roman" w:eastAsia="宋体" w:cs="Times New Roman"/>
                <w:lang w:val="en-US" w:eastAsia="zh-CN"/>
              </w:rPr>
              <w:t>mg/L）</w:t>
            </w:r>
          </w:p>
        </w:tc>
        <w:tc>
          <w:tcPr>
            <w:tcW w:w="1500" w:type="dxa"/>
          </w:tcPr>
          <w:p w14:paraId="2AA72EE8">
            <w:pPr>
              <w:pStyle w:val="6"/>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 xml:space="preserve">≤ </w:t>
            </w:r>
            <w:r>
              <w:rPr>
                <w:rFonts w:hint="eastAsia" w:ascii="Times New Roman" w:hAnsi="Times New Roman" w:eastAsia="宋体" w:cs="Times New Roman"/>
                <w:lang w:val="en-US" w:eastAsia="zh-CN"/>
              </w:rPr>
              <w:t>1.5</w:t>
            </w:r>
          </w:p>
        </w:tc>
        <w:tc>
          <w:tcPr>
            <w:tcW w:w="4727" w:type="dxa"/>
            <w:vMerge w:val="continue"/>
          </w:tcPr>
          <w:p w14:paraId="6D68AF80">
            <w:pPr>
              <w:pStyle w:val="6"/>
              <w:spacing w:line="240" w:lineRule="auto"/>
              <w:jc w:val="center"/>
              <w:rPr>
                <w:rFonts w:hint="default" w:ascii="Times New Roman" w:hAnsi="Times New Roman" w:eastAsia="宋体" w:cs="Times New Roman"/>
                <w:lang w:val="en-US" w:eastAsia="zh-CN"/>
              </w:rPr>
            </w:pPr>
          </w:p>
        </w:tc>
      </w:tr>
      <w:tr w14:paraId="5CEBE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14:paraId="1BDF770F">
            <w:pPr>
              <w:pStyle w:val="6"/>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4</w:t>
            </w:r>
          </w:p>
        </w:tc>
        <w:tc>
          <w:tcPr>
            <w:tcW w:w="2683" w:type="dxa"/>
          </w:tcPr>
          <w:p w14:paraId="7AC21C63">
            <w:pPr>
              <w:pStyle w:val="6"/>
              <w:spacing w:line="240" w:lineRule="auto"/>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六价</w:t>
            </w:r>
            <w:r>
              <w:rPr>
                <w:rFonts w:hint="default" w:ascii="Times New Roman" w:hAnsi="Times New Roman" w:eastAsia="宋体" w:cs="Times New Roman"/>
                <w:lang w:val="en-US" w:eastAsia="zh-CN"/>
              </w:rPr>
              <w:t>铬（</w:t>
            </w:r>
            <w:r>
              <w:rPr>
                <w:rFonts w:hint="eastAsia" w:ascii="Times New Roman" w:hAnsi="Times New Roman" w:eastAsia="宋体" w:cs="Times New Roman"/>
                <w:lang w:val="en-US" w:eastAsia="zh-CN"/>
              </w:rPr>
              <w:t>Cr</w:t>
            </w:r>
            <w:r>
              <w:rPr>
                <w:rFonts w:hint="eastAsia" w:ascii="Times New Roman" w:hAnsi="Times New Roman" w:eastAsia="宋体" w:cs="Times New Roman"/>
                <w:vertAlign w:val="superscript"/>
                <w:lang w:val="en-US" w:eastAsia="zh-CN"/>
              </w:rPr>
              <w:t>6+</w:t>
            </w:r>
            <w:r>
              <w:rPr>
                <w:rFonts w:hint="eastAsia" w:ascii="Times New Roman" w:hAnsi="Times New Roman" w:eastAsia="宋体" w:cs="Times New Roman"/>
                <w:lang w:val="en-US" w:eastAsia="zh-CN"/>
              </w:rPr>
              <w:t>，</w:t>
            </w:r>
            <w:r>
              <w:rPr>
                <w:rFonts w:hint="default" w:ascii="Times New Roman" w:hAnsi="Times New Roman" w:eastAsia="宋体" w:cs="Times New Roman"/>
                <w:lang w:val="en-US" w:eastAsia="zh-CN"/>
              </w:rPr>
              <w:t>mg/L）</w:t>
            </w:r>
          </w:p>
        </w:tc>
        <w:tc>
          <w:tcPr>
            <w:tcW w:w="1500" w:type="dxa"/>
          </w:tcPr>
          <w:p w14:paraId="51E081CF">
            <w:pPr>
              <w:pStyle w:val="6"/>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 0.5</w:t>
            </w:r>
          </w:p>
        </w:tc>
        <w:tc>
          <w:tcPr>
            <w:tcW w:w="4727" w:type="dxa"/>
            <w:vMerge w:val="continue"/>
          </w:tcPr>
          <w:p w14:paraId="5B2A7575">
            <w:pPr>
              <w:pStyle w:val="6"/>
              <w:spacing w:line="240" w:lineRule="auto"/>
              <w:jc w:val="center"/>
              <w:rPr>
                <w:rFonts w:hint="default" w:ascii="Times New Roman" w:hAnsi="Times New Roman" w:eastAsia="宋体" w:cs="Times New Roman"/>
                <w:lang w:val="en-US" w:eastAsia="zh-CN"/>
              </w:rPr>
            </w:pPr>
          </w:p>
        </w:tc>
      </w:tr>
      <w:tr w14:paraId="219DB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14:paraId="29A7F710">
            <w:pPr>
              <w:pStyle w:val="6"/>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5</w:t>
            </w:r>
          </w:p>
        </w:tc>
        <w:tc>
          <w:tcPr>
            <w:tcW w:w="2683" w:type="dxa"/>
          </w:tcPr>
          <w:p w14:paraId="31BA7B38">
            <w:pPr>
              <w:pStyle w:val="6"/>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总砷（</w:t>
            </w:r>
            <w:r>
              <w:rPr>
                <w:rFonts w:hint="eastAsia" w:ascii="Times New Roman" w:hAnsi="Times New Roman" w:eastAsia="宋体" w:cs="Times New Roman"/>
                <w:lang w:val="en-US" w:eastAsia="zh-CN"/>
              </w:rPr>
              <w:t>As，</w:t>
            </w:r>
            <w:r>
              <w:rPr>
                <w:rFonts w:hint="default" w:ascii="Times New Roman" w:hAnsi="Times New Roman" w:eastAsia="宋体" w:cs="Times New Roman"/>
                <w:lang w:val="en-US" w:eastAsia="zh-CN"/>
              </w:rPr>
              <w:t>mg/L）</w:t>
            </w:r>
          </w:p>
        </w:tc>
        <w:tc>
          <w:tcPr>
            <w:tcW w:w="1500" w:type="dxa"/>
          </w:tcPr>
          <w:p w14:paraId="4C1987B2">
            <w:pPr>
              <w:pStyle w:val="6"/>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 0.</w:t>
            </w:r>
            <w:r>
              <w:rPr>
                <w:rFonts w:hint="eastAsia" w:ascii="Times New Roman" w:hAnsi="Times New Roman" w:eastAsia="宋体" w:cs="Times New Roman"/>
                <w:lang w:val="en-US" w:eastAsia="zh-CN"/>
              </w:rPr>
              <w:t>5</w:t>
            </w:r>
          </w:p>
        </w:tc>
        <w:tc>
          <w:tcPr>
            <w:tcW w:w="4727" w:type="dxa"/>
            <w:vMerge w:val="continue"/>
          </w:tcPr>
          <w:p w14:paraId="31ADB36C">
            <w:pPr>
              <w:pStyle w:val="6"/>
              <w:spacing w:line="240" w:lineRule="auto"/>
              <w:jc w:val="center"/>
              <w:rPr>
                <w:rFonts w:hint="default" w:ascii="Times New Roman" w:hAnsi="Times New Roman" w:eastAsia="宋体" w:cs="Times New Roman"/>
                <w:lang w:val="en-US" w:eastAsia="zh-CN"/>
              </w:rPr>
            </w:pPr>
          </w:p>
        </w:tc>
      </w:tr>
      <w:tr w14:paraId="1E08B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14:paraId="1242EF4B">
            <w:pPr>
              <w:pStyle w:val="6"/>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6</w:t>
            </w:r>
          </w:p>
        </w:tc>
        <w:tc>
          <w:tcPr>
            <w:tcW w:w="2683" w:type="dxa"/>
          </w:tcPr>
          <w:p w14:paraId="1CDE9A65">
            <w:pPr>
              <w:pStyle w:val="6"/>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总铅（</w:t>
            </w:r>
            <w:r>
              <w:rPr>
                <w:rFonts w:hint="eastAsia" w:ascii="Times New Roman" w:hAnsi="Times New Roman" w:eastAsia="宋体" w:cs="Times New Roman"/>
                <w:lang w:val="en-US" w:eastAsia="zh-CN"/>
              </w:rPr>
              <w:t>Pb，</w:t>
            </w:r>
            <w:r>
              <w:rPr>
                <w:rFonts w:hint="default" w:ascii="Times New Roman" w:hAnsi="Times New Roman" w:eastAsia="宋体" w:cs="Times New Roman"/>
                <w:lang w:val="en-US" w:eastAsia="zh-CN"/>
              </w:rPr>
              <w:t>mg/L）</w:t>
            </w:r>
          </w:p>
        </w:tc>
        <w:tc>
          <w:tcPr>
            <w:tcW w:w="1500" w:type="dxa"/>
          </w:tcPr>
          <w:p w14:paraId="1E9F0100">
            <w:pPr>
              <w:pStyle w:val="6"/>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 1.</w:t>
            </w:r>
            <w:r>
              <w:rPr>
                <w:rFonts w:hint="eastAsia" w:ascii="Times New Roman" w:hAnsi="Times New Roman" w:eastAsia="宋体" w:cs="Times New Roman"/>
                <w:lang w:val="en-US" w:eastAsia="zh-CN"/>
              </w:rPr>
              <w:t>0</w:t>
            </w:r>
          </w:p>
        </w:tc>
        <w:tc>
          <w:tcPr>
            <w:tcW w:w="4727" w:type="dxa"/>
            <w:vMerge w:val="continue"/>
          </w:tcPr>
          <w:p w14:paraId="320A60F7">
            <w:pPr>
              <w:pStyle w:val="6"/>
              <w:spacing w:line="240" w:lineRule="auto"/>
              <w:jc w:val="center"/>
              <w:rPr>
                <w:rFonts w:hint="default" w:ascii="Times New Roman" w:hAnsi="Times New Roman" w:eastAsia="宋体" w:cs="Times New Roman"/>
                <w:lang w:val="en-US" w:eastAsia="zh-CN"/>
              </w:rPr>
            </w:pPr>
          </w:p>
        </w:tc>
      </w:tr>
      <w:tr w14:paraId="0F1D0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14:paraId="3806B0AB">
            <w:pPr>
              <w:pStyle w:val="6"/>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7</w:t>
            </w:r>
          </w:p>
        </w:tc>
        <w:tc>
          <w:tcPr>
            <w:tcW w:w="2683" w:type="dxa"/>
          </w:tcPr>
          <w:p w14:paraId="6DE0FA9E">
            <w:pPr>
              <w:pStyle w:val="6"/>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总镍（</w:t>
            </w:r>
            <w:r>
              <w:rPr>
                <w:rFonts w:hint="eastAsia" w:ascii="Times New Roman" w:hAnsi="Times New Roman" w:eastAsia="宋体" w:cs="Times New Roman"/>
                <w:lang w:val="en-US" w:eastAsia="zh-CN"/>
              </w:rPr>
              <w:t>Ni，</w:t>
            </w:r>
            <w:r>
              <w:rPr>
                <w:rFonts w:hint="default" w:ascii="Times New Roman" w:hAnsi="Times New Roman" w:eastAsia="宋体" w:cs="Times New Roman"/>
                <w:lang w:val="en-US" w:eastAsia="zh-CN"/>
              </w:rPr>
              <w:t>mg/L）</w:t>
            </w:r>
          </w:p>
        </w:tc>
        <w:tc>
          <w:tcPr>
            <w:tcW w:w="1500" w:type="dxa"/>
          </w:tcPr>
          <w:p w14:paraId="605B0167">
            <w:pPr>
              <w:pStyle w:val="6"/>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 0.5</w:t>
            </w:r>
          </w:p>
        </w:tc>
        <w:tc>
          <w:tcPr>
            <w:tcW w:w="4727" w:type="dxa"/>
            <w:vMerge w:val="continue"/>
          </w:tcPr>
          <w:p w14:paraId="105C72E4">
            <w:pPr>
              <w:pStyle w:val="6"/>
              <w:spacing w:line="240" w:lineRule="auto"/>
              <w:jc w:val="center"/>
              <w:rPr>
                <w:rFonts w:hint="default" w:ascii="Times New Roman" w:hAnsi="Times New Roman" w:eastAsia="宋体" w:cs="Times New Roman"/>
                <w:lang w:val="en-US" w:eastAsia="zh-CN"/>
              </w:rPr>
            </w:pPr>
          </w:p>
        </w:tc>
      </w:tr>
      <w:tr w14:paraId="2872B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14:paraId="2D4FFE2B">
            <w:pPr>
              <w:pStyle w:val="6"/>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8</w:t>
            </w:r>
          </w:p>
        </w:tc>
        <w:tc>
          <w:tcPr>
            <w:tcW w:w="2683" w:type="dxa"/>
          </w:tcPr>
          <w:p w14:paraId="4F139147">
            <w:pPr>
              <w:pStyle w:val="6"/>
              <w:spacing w:line="240" w:lineRule="auto"/>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总钡（Ba，</w:t>
            </w:r>
            <w:r>
              <w:rPr>
                <w:rFonts w:hint="default" w:ascii="Times New Roman" w:hAnsi="Times New Roman" w:eastAsia="宋体" w:cs="Times New Roman"/>
                <w:lang w:val="en-US" w:eastAsia="zh-CN"/>
              </w:rPr>
              <w:t>mg/L</w:t>
            </w:r>
            <w:r>
              <w:rPr>
                <w:rFonts w:hint="eastAsia" w:ascii="Times New Roman" w:hAnsi="Times New Roman" w:eastAsia="宋体" w:cs="Times New Roman"/>
                <w:lang w:val="en-US" w:eastAsia="zh-CN"/>
              </w:rPr>
              <w:t>）</w:t>
            </w:r>
          </w:p>
        </w:tc>
        <w:tc>
          <w:tcPr>
            <w:tcW w:w="1500" w:type="dxa"/>
          </w:tcPr>
          <w:p w14:paraId="53DFAD1A">
            <w:pPr>
              <w:pStyle w:val="6"/>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 0.</w:t>
            </w:r>
            <w:r>
              <w:rPr>
                <w:rFonts w:hint="eastAsia" w:ascii="Times New Roman" w:hAnsi="Times New Roman" w:eastAsia="宋体" w:cs="Times New Roman"/>
                <w:lang w:val="en-US" w:eastAsia="zh-CN"/>
              </w:rPr>
              <w:t>7</w:t>
            </w:r>
          </w:p>
        </w:tc>
        <w:tc>
          <w:tcPr>
            <w:tcW w:w="4727" w:type="dxa"/>
            <w:vMerge w:val="continue"/>
          </w:tcPr>
          <w:p w14:paraId="5750598C">
            <w:pPr>
              <w:pStyle w:val="6"/>
              <w:spacing w:line="240" w:lineRule="auto"/>
              <w:jc w:val="center"/>
              <w:rPr>
                <w:rFonts w:hint="default" w:ascii="Times New Roman" w:hAnsi="Times New Roman" w:eastAsia="宋体" w:cs="Times New Roman"/>
                <w:lang w:val="en-US" w:eastAsia="zh-CN"/>
              </w:rPr>
            </w:pPr>
          </w:p>
        </w:tc>
      </w:tr>
      <w:tr w14:paraId="05086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14:paraId="4EC3A443">
            <w:pPr>
              <w:pStyle w:val="6"/>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9</w:t>
            </w:r>
          </w:p>
        </w:tc>
        <w:tc>
          <w:tcPr>
            <w:tcW w:w="2683" w:type="dxa"/>
            <w:shd w:val="clear" w:color="auto" w:fill="auto"/>
            <w:vAlign w:val="top"/>
          </w:tcPr>
          <w:p w14:paraId="60A218B5">
            <w:pPr>
              <w:pStyle w:val="6"/>
              <w:spacing w:line="240" w:lineRule="auto"/>
              <w:jc w:val="center"/>
              <w:rPr>
                <w:rFonts w:hint="default" w:ascii="Times New Roman" w:hAnsi="Times New Roman" w:eastAsia="宋体" w:cs="Times New Roman"/>
                <w:sz w:val="20"/>
                <w:szCs w:val="22"/>
                <w:lang w:val="en-US" w:eastAsia="zh-CN"/>
              </w:rPr>
            </w:pPr>
            <w:r>
              <w:rPr>
                <w:rFonts w:hint="default" w:ascii="Times New Roman" w:hAnsi="Times New Roman" w:eastAsia="宋体" w:cs="Times New Roman"/>
                <w:lang w:val="en-US" w:eastAsia="zh-CN"/>
              </w:rPr>
              <w:t>总铍（</w:t>
            </w:r>
            <w:r>
              <w:rPr>
                <w:rFonts w:hint="eastAsia" w:ascii="Times New Roman" w:hAnsi="Times New Roman" w:eastAsia="宋体" w:cs="Times New Roman"/>
                <w:lang w:val="en-US" w:eastAsia="zh-CN"/>
              </w:rPr>
              <w:t>Be，</w:t>
            </w:r>
            <w:r>
              <w:rPr>
                <w:rFonts w:hint="default" w:ascii="Times New Roman" w:hAnsi="Times New Roman" w:eastAsia="宋体" w:cs="Times New Roman"/>
                <w:lang w:val="en-US" w:eastAsia="zh-CN"/>
              </w:rPr>
              <w:t>mg/L）</w:t>
            </w:r>
          </w:p>
        </w:tc>
        <w:tc>
          <w:tcPr>
            <w:tcW w:w="1500" w:type="dxa"/>
            <w:vAlign w:val="top"/>
          </w:tcPr>
          <w:p w14:paraId="0328490A">
            <w:pPr>
              <w:pStyle w:val="6"/>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 0.005</w:t>
            </w:r>
          </w:p>
        </w:tc>
        <w:tc>
          <w:tcPr>
            <w:tcW w:w="4727" w:type="dxa"/>
            <w:vMerge w:val="continue"/>
          </w:tcPr>
          <w:p w14:paraId="549D4A90">
            <w:pPr>
              <w:pStyle w:val="6"/>
              <w:spacing w:line="240" w:lineRule="auto"/>
              <w:jc w:val="center"/>
              <w:rPr>
                <w:rFonts w:hint="default" w:ascii="Times New Roman" w:hAnsi="Times New Roman" w:eastAsia="宋体" w:cs="Times New Roman"/>
                <w:lang w:val="en-US" w:eastAsia="zh-CN"/>
              </w:rPr>
            </w:pPr>
          </w:p>
        </w:tc>
      </w:tr>
      <w:tr w14:paraId="5C13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14:paraId="208C940D">
            <w:pPr>
              <w:pStyle w:val="6"/>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10</w:t>
            </w:r>
          </w:p>
        </w:tc>
        <w:tc>
          <w:tcPr>
            <w:tcW w:w="2683" w:type="dxa"/>
            <w:vAlign w:val="top"/>
          </w:tcPr>
          <w:p w14:paraId="61B15DAC">
            <w:pPr>
              <w:pStyle w:val="6"/>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总铊（</w:t>
            </w:r>
            <w:r>
              <w:rPr>
                <w:rFonts w:hint="eastAsia" w:ascii="Times New Roman" w:hAnsi="Times New Roman" w:eastAsia="宋体" w:cs="Times New Roman"/>
                <w:lang w:val="en-US" w:eastAsia="zh-CN"/>
              </w:rPr>
              <w:t>TI，</w:t>
            </w:r>
            <w:r>
              <w:rPr>
                <w:rFonts w:hint="default" w:ascii="Times New Roman" w:hAnsi="Times New Roman" w:eastAsia="宋体" w:cs="Times New Roman"/>
                <w:lang w:val="en-US" w:eastAsia="zh-CN"/>
              </w:rPr>
              <w:t>mg/L）</w:t>
            </w:r>
          </w:p>
        </w:tc>
        <w:tc>
          <w:tcPr>
            <w:tcW w:w="1500" w:type="dxa"/>
            <w:vAlign w:val="top"/>
          </w:tcPr>
          <w:p w14:paraId="5E4ACED6">
            <w:pPr>
              <w:pStyle w:val="6"/>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 0.005</w:t>
            </w:r>
          </w:p>
        </w:tc>
        <w:tc>
          <w:tcPr>
            <w:tcW w:w="4727" w:type="dxa"/>
            <w:vMerge w:val="continue"/>
          </w:tcPr>
          <w:p w14:paraId="7F12E0B5">
            <w:pPr>
              <w:pStyle w:val="6"/>
              <w:spacing w:line="240" w:lineRule="auto"/>
              <w:jc w:val="center"/>
              <w:rPr>
                <w:rFonts w:hint="default" w:ascii="Times New Roman" w:hAnsi="Times New Roman" w:eastAsia="宋体" w:cs="Times New Roman"/>
                <w:lang w:val="en-US" w:eastAsia="zh-CN"/>
              </w:rPr>
            </w:pPr>
          </w:p>
        </w:tc>
      </w:tr>
      <w:tr w14:paraId="102EE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14:paraId="45BA550E">
            <w:pPr>
              <w:pStyle w:val="6"/>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11</w:t>
            </w:r>
          </w:p>
        </w:tc>
        <w:tc>
          <w:tcPr>
            <w:tcW w:w="2683" w:type="dxa"/>
          </w:tcPr>
          <w:p w14:paraId="3FFB0178">
            <w:pPr>
              <w:pStyle w:val="6"/>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总锌（</w:t>
            </w:r>
            <w:r>
              <w:rPr>
                <w:rFonts w:hint="eastAsia" w:ascii="Times New Roman" w:hAnsi="Times New Roman" w:eastAsia="宋体" w:cs="Times New Roman"/>
                <w:lang w:val="en-US" w:eastAsia="zh-CN"/>
              </w:rPr>
              <w:t>Zn，</w:t>
            </w:r>
            <w:r>
              <w:rPr>
                <w:rFonts w:hint="default" w:ascii="Times New Roman" w:hAnsi="Times New Roman" w:eastAsia="宋体" w:cs="Times New Roman"/>
                <w:lang w:val="en-US" w:eastAsia="zh-CN"/>
              </w:rPr>
              <w:t>mg/L）</w:t>
            </w:r>
          </w:p>
        </w:tc>
        <w:tc>
          <w:tcPr>
            <w:tcW w:w="1500" w:type="dxa"/>
          </w:tcPr>
          <w:p w14:paraId="1F18CFEF">
            <w:pPr>
              <w:pStyle w:val="6"/>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 2.0</w:t>
            </w:r>
          </w:p>
        </w:tc>
        <w:tc>
          <w:tcPr>
            <w:tcW w:w="4727" w:type="dxa"/>
            <w:vMerge w:val="continue"/>
          </w:tcPr>
          <w:p w14:paraId="71271385">
            <w:pPr>
              <w:pStyle w:val="6"/>
              <w:spacing w:line="240" w:lineRule="auto"/>
              <w:jc w:val="center"/>
              <w:rPr>
                <w:rFonts w:hint="default" w:ascii="Times New Roman" w:hAnsi="Times New Roman" w:eastAsia="宋体" w:cs="Times New Roman"/>
                <w:lang w:val="en-US" w:eastAsia="zh-CN"/>
              </w:rPr>
            </w:pPr>
          </w:p>
        </w:tc>
      </w:tr>
      <w:tr w14:paraId="1DB96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 w:type="dxa"/>
          </w:tcPr>
          <w:p w14:paraId="10D568C5">
            <w:pPr>
              <w:pStyle w:val="6"/>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12</w:t>
            </w:r>
          </w:p>
        </w:tc>
        <w:tc>
          <w:tcPr>
            <w:tcW w:w="2683" w:type="dxa"/>
          </w:tcPr>
          <w:p w14:paraId="2DDC7D15">
            <w:pPr>
              <w:pStyle w:val="6"/>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总</w:t>
            </w:r>
            <w:r>
              <w:rPr>
                <w:rFonts w:hint="eastAsia" w:ascii="Times New Roman" w:hAnsi="Times New Roman" w:eastAsia="宋体" w:cs="Times New Roman"/>
                <w:lang w:val="en-US" w:eastAsia="zh-CN"/>
              </w:rPr>
              <w:t>锰</w:t>
            </w:r>
            <w:r>
              <w:rPr>
                <w:rFonts w:hint="default" w:ascii="Times New Roman" w:hAnsi="Times New Roman" w:eastAsia="宋体" w:cs="Times New Roman"/>
                <w:lang w:val="en-US" w:eastAsia="zh-CN"/>
              </w:rPr>
              <w:t>（</w:t>
            </w:r>
            <w:r>
              <w:rPr>
                <w:rFonts w:hint="eastAsia" w:ascii="Times New Roman" w:hAnsi="Times New Roman" w:eastAsia="宋体" w:cs="Times New Roman"/>
                <w:lang w:val="en-US" w:eastAsia="zh-CN"/>
              </w:rPr>
              <w:t>Mn，</w:t>
            </w:r>
            <w:r>
              <w:rPr>
                <w:rFonts w:hint="default" w:ascii="Times New Roman" w:hAnsi="Times New Roman" w:eastAsia="宋体" w:cs="Times New Roman"/>
                <w:lang w:val="en-US" w:eastAsia="zh-CN"/>
              </w:rPr>
              <w:t>mg/L）</w:t>
            </w:r>
          </w:p>
        </w:tc>
        <w:tc>
          <w:tcPr>
            <w:tcW w:w="1500" w:type="dxa"/>
          </w:tcPr>
          <w:p w14:paraId="758A2CAF">
            <w:pPr>
              <w:pStyle w:val="6"/>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 xml:space="preserve">≤ </w:t>
            </w:r>
            <w:r>
              <w:rPr>
                <w:rFonts w:hint="eastAsia" w:ascii="Times New Roman" w:hAnsi="Times New Roman" w:eastAsia="宋体" w:cs="Times New Roman"/>
                <w:lang w:val="en-US" w:eastAsia="zh-CN"/>
              </w:rPr>
              <w:t>2.0</w:t>
            </w:r>
          </w:p>
        </w:tc>
        <w:tc>
          <w:tcPr>
            <w:tcW w:w="4727" w:type="dxa"/>
            <w:vMerge w:val="continue"/>
          </w:tcPr>
          <w:p w14:paraId="2D3F1479">
            <w:pPr>
              <w:pStyle w:val="6"/>
              <w:spacing w:line="240" w:lineRule="auto"/>
              <w:jc w:val="center"/>
              <w:rPr>
                <w:rFonts w:hint="default" w:ascii="Times New Roman" w:hAnsi="Times New Roman" w:eastAsia="宋体" w:cs="Times New Roman"/>
                <w:lang w:val="en-US" w:eastAsia="zh-CN"/>
              </w:rPr>
            </w:pPr>
          </w:p>
        </w:tc>
      </w:tr>
      <w:bookmarkEnd w:id="45"/>
      <w:bookmarkEnd w:id="46"/>
      <w:bookmarkEnd w:id="47"/>
    </w:tbl>
    <w:p w14:paraId="71952BF4">
      <w:pPr>
        <w:spacing w:line="360" w:lineRule="auto"/>
        <w:rPr>
          <w:color w:val="000000" w:themeColor="text1"/>
          <w:szCs w:val="21"/>
          <w14:textFill>
            <w14:solidFill>
              <w14:schemeClr w14:val="tx1"/>
            </w14:solidFill>
          </w14:textFill>
        </w:rPr>
      </w:pPr>
    </w:p>
    <w:p w14:paraId="3E8FC308">
      <w:pPr>
        <w:spacing w:line="360" w:lineRule="auto"/>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mc:AlternateContent>
          <mc:Choice Requires="wps">
            <w:drawing>
              <wp:inline distT="0" distB="0" distL="114300" distR="114300">
                <wp:extent cx="1889760" cy="635"/>
                <wp:effectExtent l="0" t="0" r="0" b="0"/>
                <wp:docPr id="5" name="AutoShape 7"/>
                <wp:cNvGraphicFramePr/>
                <a:graphic xmlns:a="http://schemas.openxmlformats.org/drawingml/2006/main">
                  <a:graphicData uri="http://schemas.microsoft.com/office/word/2010/wordprocessingShape">
                    <wps:wsp>
                      <wps:cNvCnPr/>
                      <wps:spPr>
                        <a:xfrm>
                          <a:off x="0" y="0"/>
                          <a:ext cx="1889760" cy="635"/>
                        </a:xfrm>
                        <a:prstGeom prst="straightConnector1">
                          <a:avLst/>
                        </a:prstGeom>
                        <a:ln w="9525" cap="flat" cmpd="sng">
                          <a:solidFill>
                            <a:srgbClr val="000000"/>
                          </a:solidFill>
                          <a:prstDash val="solid"/>
                          <a:headEnd type="none" w="med" len="med"/>
                          <a:tailEnd type="none" w="med" len="med"/>
                        </a:ln>
                      </wps:spPr>
                      <wps:bodyPr/>
                    </wps:wsp>
                  </a:graphicData>
                </a:graphic>
              </wp:inline>
            </w:drawing>
          </mc:Choice>
          <mc:Fallback>
            <w:pict>
              <v:shape id="AutoShape 7" o:spid="_x0000_s1026" o:spt="32" type="#_x0000_t32" style="height:0.05pt;width:148.8pt;" filled="f" stroked="t" coordsize="21600,21600" o:gfxdata="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wPOlpdIAAAACAQAADwAAAAAA&#10;AAABACAAAAAiAAAAZHJzL2Rvd25yZXYueG1sUEsBAhQAFAAAAAgAh07iQF2p4NzgAQAA4gMAAA4A&#10;AAAAAAAAAQAgAAAAIQEAAGRycy9lMm9Eb2MueG1sUEsFBgAAAAAGAAYAWQEAAHMFAAAAAA==&#10;">
                <v:fill on="f" focussize="0,0"/>
                <v:stroke color="#000000" joinstyle="round"/>
                <v:imagedata o:title=""/>
                <o:lock v:ext="edit" aspectratio="f"/>
                <w10:wrap type="none"/>
                <w10:anchorlock/>
              </v:shape>
            </w:pict>
          </mc:Fallback>
        </mc:AlternateContent>
      </w:r>
    </w:p>
    <w:sectPr>
      <w:pgSz w:w="11906" w:h="16838"/>
      <w:pgMar w:top="1417" w:right="1134" w:bottom="1134" w:left="1417" w:header="1020" w:footer="850"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9929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B6775">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89945C5">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I</w:t>
                          </w:r>
                          <w:r>
                            <w:rPr>
                              <w:rFonts w:hint="default" w:ascii="Times New Roman" w:hAnsi="Times New Roman" w:cs="Times New Roman"/>
                            </w:rP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NJQgnIAQAAmQMAAA4AAAAAAAAAAQAgAAAAHgEAAGRycy9lMm9Eb2Mu&#10;eG1sUEsFBgAAAAAGAAYAWQEAAFgFAAAAAA==&#10;">
              <v:fill on="f" focussize="0,0"/>
              <v:stroke on="f"/>
              <v:imagedata o:title=""/>
              <o:lock v:ext="edit" aspectratio="f"/>
              <v:textbox inset="0mm,0mm,0mm,0mm" style="mso-fit-shape-to-text:t;">
                <w:txbxContent>
                  <w:p w14:paraId="089945C5">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I</w:t>
                    </w:r>
                    <w:r>
                      <w:rPr>
                        <w:rFonts w:hint="default" w:ascii="Times New Roman" w:hAnsi="Times New Roman" w:cs="Times New Roma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70E2B">
    <w:pPr>
      <w:pStyle w:val="8"/>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97B1458">
                          <w:pPr>
                            <w:pStyle w:val="8"/>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文本框 11"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1uJ6sgBAACa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KI7dcYsDv/z8cfn15/L7O1ku&#10;sz59gBrT7gMmpuGdH3BrZj+gM9MeVLT5i4QIxlHd81VdOSQi8qP1ar2uMCQwNl8Qnz08DxHSe+kt&#10;yUZDI46vqMpPHyGNqXNKrub8nTamjNC4fxyImT0s9z72mK007IeJ0N63Z+TT4+Qb6nDRKTEfHAqb&#10;l2Q24mzsZ+MYoj50ZYtyPQi3x4RNlN5yhRF2KowjK+ym9co78fhesh5+qe1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E9bierIAQAAmgMAAA4AAAAAAAAAAQAgAAAAHgEAAGRycy9lMm9Eb2Mu&#10;eG1sUEsFBgAAAAAGAAYAWQEAAFgFAAAAAA==&#10;">
              <v:fill on="f" focussize="0,0"/>
              <v:stroke on="f"/>
              <v:imagedata o:title=""/>
              <o:lock v:ext="edit" aspectratio="f"/>
              <v:textbox inset="0mm,0mm,0mm,0mm" style="mso-fit-shape-to-text:t;">
                <w:txbxContent>
                  <w:p w14:paraId="697B1458">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12BC3">
    <w:pPr>
      <w:tabs>
        <w:tab w:val="right" w:pos="9355"/>
      </w:tabs>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EBC8CC">
                          <w:r>
                            <w:fldChar w:fldCharType="begin"/>
                          </w:r>
                          <w:r>
                            <w:instrText xml:space="preserve"> PAGE  \* MERGEFORMAT </w:instrText>
                          </w:r>
                          <w:r>
                            <w:fldChar w:fldCharType="separate"/>
                          </w:r>
                          <w:r>
                            <w:t>I</w:t>
                          </w:r>
                          <w:r>
                            <w:fldChar w:fldCharType="end"/>
                          </w:r>
                        </w:p>
                      </w:txbxContent>
                    </wps:txbx>
                    <wps:bodyPr wrap="none" lIns="0" tIns="0" rIns="0" bIns="0" upright="0">
                      <a:spAutoFit/>
                    </wps:bodyPr>
                  </wps:wsp>
                </a:graphicData>
              </a:graphic>
            </wp:anchor>
          </w:drawing>
        </mc:Choice>
        <mc:Fallback>
          <w:pict>
            <v:shape id="文本框 9"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pCPP/IAQAAmQMAAA4AAAAAAAAAAQAgAAAAHgEAAGRycy9lMm9Eb2Mu&#10;eG1sUEsFBgAAAAAGAAYAWQEAAFgFAAAAAA==&#10;">
              <v:fill on="f" focussize="0,0"/>
              <v:stroke on="f"/>
              <v:imagedata o:title=""/>
              <o:lock v:ext="edit" aspectratio="f"/>
              <v:textbox inset="0mm,0mm,0mm,0mm" style="mso-fit-shape-to-text:t;">
                <w:txbxContent>
                  <w:p w14:paraId="3DEBC8CC">
                    <w:r>
                      <w:fldChar w:fldCharType="begin"/>
                    </w:r>
                    <w:r>
                      <w:instrText xml:space="preserve"> PAGE  \* MERGEFORMAT </w:instrText>
                    </w:r>
                    <w:r>
                      <w:fldChar w:fldCharType="separate"/>
                    </w:r>
                    <w:r>
                      <w:t>I</w:t>
                    </w:r>
                    <w:r>
                      <w:fldChar w:fldCharType="end"/>
                    </w:r>
                  </w:p>
                </w:txbxContent>
              </v:textbox>
            </v:shape>
          </w:pict>
        </mc:Fallback>
      </mc:AlternateContent>
    </w:r>
    <w:r>
      <w:rPr>
        <w:rFonts w:hint="eastAsia"/>
        <w:lang w:eastAsia="zh-CN"/>
      </w:rPr>
      <w:tab/>
    </w:r>
    <w:r>
      <w:rPr>
        <w:rFonts w:hint="eastAsia"/>
        <w:lang w:eastAsia="zh-CN"/>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966C1">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1529810">
                          <w:pPr>
                            <w:pStyle w:val="8"/>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文本框 12"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bLqDckBAACaAwAADgAAAGRycy9lMm9Eb2MueG1srVPNjtMwEL4j8Q6W&#10;79RpD6hE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4b+oYSxy0O/PL92+XHr8vPr2S5&#10;yvr0AWpMewiYmIY7P+DWzH5AZ6Y9qGjzFwkRjKO656u6ckhE5Efr1XpdYUhgbL4gPnt8HiKkt9Jb&#10;ko2GRhxfUZWf3kMaU+eUXM35e21MGaFxfzkQM3tY7n3sMVtp2A8Tob1vz8inx8k31OGiU2LeORQ2&#10;L8lsxNnYz8YxRH3oyhblehBujwmbKL3lCiPsVBhHVthN65V34s97yXr8pb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lsuoNyQEAAJoDAAAOAAAAAAAAAAEAIAAAAB4BAABkcnMvZTJvRG9j&#10;LnhtbFBLBQYAAAAABgAGAFkBAABZBQAAAAA=&#10;">
              <v:fill on="f" focussize="0,0"/>
              <v:stroke on="f"/>
              <v:imagedata o:title=""/>
              <o:lock v:ext="edit" aspectratio="f"/>
              <v:textbox inset="0mm,0mm,0mm,0mm" style="mso-fit-shape-to-text:t;">
                <w:txbxContent>
                  <w:p w14:paraId="71529810">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55565">
    <w:pPr>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D0CD2">
    <w:pPr>
      <w:pBdr>
        <w:bottom w:val="none" w:color="auto" w:sz="0" w:space="0"/>
      </w:pBdr>
      <w:jc w:val="right"/>
      <w:rPr>
        <w:rFonts w:hint="default" w:ascii="Times New Roman" w:hAnsi="Times New Roman" w:cs="Times New Roman"/>
      </w:rPr>
    </w:pPr>
    <w:r>
      <w:rPr>
        <w:rFonts w:hint="default" w:ascii="Times New Roman" w:hAnsi="Times New Roman" w:cs="Times New Roman"/>
      </w:rPr>
      <w:t xml:space="preserve">T/ACEF </w:t>
    </w:r>
    <w:r>
      <w:rPr>
        <w:rFonts w:hint="eastAsia" w:ascii="Times New Roman" w:hAnsi="Times New Roman" w:cs="Times New Roman"/>
        <w:lang w:val="en-US" w:eastAsia="zh-CN"/>
      </w:rPr>
      <w:t>×××</w:t>
    </w:r>
    <w:r>
      <w:rPr>
        <w:rFonts w:hint="default" w:ascii="Times New Roman" w:hAnsi="Times New Roman" w:cs="Times New Roman"/>
      </w:rPr>
      <w:t>—20</w:t>
    </w:r>
    <w:r>
      <w:rPr>
        <w:rFonts w:hint="eastAsia" w:ascii="Times New Roman" w:hAnsi="Times New Roman" w:cs="Times New Roman"/>
        <w:lang w:val="en-US" w:eastAsia="zh-CN"/>
      </w:rPr>
      <w:t>××</w:t>
    </w:r>
  </w:p>
  <w:p w14:paraId="178340E7">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32B5B">
    <w:pPr>
      <w:pStyle w:val="9"/>
      <w:rPr>
        <w:rFonts w:hint="default"/>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D3229">
    <w:pPr>
      <w:pBdr>
        <w:bottom w:val="none" w:color="auto" w:sz="0" w:space="0"/>
      </w:pBdr>
      <w:jc w:val="right"/>
      <w:rPr>
        <w:rFonts w:hint="default" w:ascii="Times New Roman" w:hAnsi="Times New Roman" w:cs="Times New Roman"/>
      </w:rPr>
    </w:pPr>
    <w:r>
      <w:rPr>
        <w:rFonts w:hint="default" w:ascii="Times New Roman" w:hAnsi="Times New Roman" w:cs="Times New Roman"/>
      </w:rPr>
      <w:t xml:space="preserve">T/ACEF </w:t>
    </w:r>
    <w:r>
      <w:rPr>
        <w:rFonts w:hint="eastAsia" w:ascii="Times New Roman" w:hAnsi="Times New Roman" w:cs="Times New Roman"/>
        <w:lang w:val="en-US" w:eastAsia="zh-CN"/>
      </w:rPr>
      <w:t>×××</w:t>
    </w:r>
    <w:r>
      <w:rPr>
        <w:rFonts w:hint="default" w:ascii="Times New Roman" w:hAnsi="Times New Roman" w:cs="Times New Roman"/>
      </w:rPr>
      <w:t>—20</w:t>
    </w:r>
    <w:r>
      <w:rPr>
        <w:rFonts w:hint="eastAsia" w:ascii="Times New Roman" w:hAnsi="Times New Roman" w:cs="Times New Roman"/>
        <w:lang w:val="en-US" w:eastAsia="zh-CN"/>
      </w:rP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3C03B">
    <w:pPr>
      <w:pBdr>
        <w:bottom w:val="none" w:color="auto" w:sz="0" w:space="0"/>
      </w:pBdr>
      <w:jc w:val="right"/>
      <w:rPr>
        <w:rFonts w:hint="default"/>
      </w:rPr>
    </w:pPr>
    <w:r>
      <w:rPr>
        <w:rFonts w:hint="default" w:ascii="Times New Roman" w:hAnsi="Times New Roman" w:cs="Times New Roman"/>
      </w:rPr>
      <w:t xml:space="preserve">T/ACEF </w:t>
    </w:r>
    <w:r>
      <w:rPr>
        <w:rFonts w:hint="eastAsia" w:ascii="Times New Roman" w:hAnsi="Times New Roman" w:cs="Times New Roman"/>
        <w:lang w:val="en-US" w:eastAsia="zh-CN"/>
      </w:rPr>
      <w:t>×××</w:t>
    </w:r>
    <w:r>
      <w:rPr>
        <w:rFonts w:hint="default" w:ascii="Times New Roman" w:hAnsi="Times New Roman" w:cs="Times New Roman"/>
      </w:rPr>
      <w:t>—20</w:t>
    </w:r>
    <w:r>
      <w:rPr>
        <w:rFonts w:hint="eastAsia" w:ascii="Times New Roman" w:hAnsi="Times New Roman" w:cs="Times New Roman"/>
        <w:lang w:val="en-US" w:eastAsia="zh-CN"/>
      </w:rPr>
      <w: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CEEBA">
    <w:pPr>
      <w:pBdr>
        <w:bottom w:val="none" w:color="auto" w:sz="0" w:space="0"/>
      </w:pBdr>
      <w:jc w:val="both"/>
      <w:rPr>
        <w:rFonts w:hint="default" w:ascii="Times New Roman" w:hAnsi="Times New Roman" w:cs="Times New Roman"/>
      </w:rPr>
    </w:pPr>
    <w:r>
      <w:rPr>
        <w:rFonts w:hint="default" w:ascii="Times New Roman" w:hAnsi="Times New Roman" w:cs="Times New Roman"/>
      </w:rPr>
      <w:t xml:space="preserve">T/ACEF </w:t>
    </w:r>
    <w:r>
      <w:rPr>
        <w:rFonts w:hint="eastAsia" w:ascii="Times New Roman" w:hAnsi="Times New Roman" w:cs="Times New Roman"/>
        <w:lang w:val="en-US" w:eastAsia="zh-CN"/>
      </w:rPr>
      <w:t>×××</w:t>
    </w:r>
    <w:r>
      <w:rPr>
        <w:rFonts w:hint="default" w:ascii="Times New Roman" w:hAnsi="Times New Roman" w:cs="Times New Roman"/>
      </w:rPr>
      <w:t>—20</w:t>
    </w:r>
    <w:r>
      <w:rPr>
        <w:rFonts w:hint="eastAsia" w:ascii="Times New Roman" w:hAnsi="Times New Roman" w:cs="Times New Roman"/>
        <w:lang w:val="en-US" w:eastAsia="zh-CN"/>
      </w:rPr>
      <w:t>××</w:t>
    </w:r>
  </w:p>
  <w:p w14:paraId="0B9516E9">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A87744"/>
    <w:multiLevelType w:val="multilevel"/>
    <w:tmpl w:val="C1A87744"/>
    <w:lvl w:ilvl="0" w:tentative="0">
      <w:start w:val="4"/>
      <w:numFmt w:val="decimal"/>
      <w:suff w:val="nothing"/>
      <w:lvlText w:val="%1　"/>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0C366EF0"/>
    <w:multiLevelType w:val="multilevel"/>
    <w:tmpl w:val="0C366EF0"/>
    <w:lvl w:ilvl="0" w:tentative="0">
      <w:start w:val="1"/>
      <w:numFmt w:val="none"/>
      <w:lvlText w:val=""/>
      <w:lvlJc w:val="left"/>
      <w:pPr>
        <w:ind w:left="432" w:hanging="432"/>
      </w:pPr>
      <w:rPr>
        <w:rFonts w:hint="default"/>
      </w:rPr>
    </w:lvl>
    <w:lvl w:ilvl="1" w:tentative="0">
      <w:start w:val="1"/>
      <w:numFmt w:val="decimal"/>
      <w:pStyle w:val="2"/>
      <w:lvlText w:val="%2"/>
      <w:lvlJc w:val="left"/>
      <w:pPr>
        <w:ind w:left="575" w:hanging="575"/>
      </w:pPr>
      <w:rPr>
        <w:rFonts w:hint="default"/>
      </w:rPr>
    </w:lvl>
    <w:lvl w:ilvl="2" w:tentative="0">
      <w:start w:val="1"/>
      <w:numFmt w:val="decimal"/>
      <w:pStyle w:val="3"/>
      <w:suff w:val="space"/>
      <w:lvlText w:val="%2.%3"/>
      <w:lvlJc w:val="left"/>
      <w:pPr>
        <w:ind w:left="720" w:hanging="720"/>
      </w:pPr>
      <w:rPr>
        <w:rFonts w:hint="default"/>
        <w:b/>
        <w:bCs/>
      </w:rPr>
    </w:lvl>
    <w:lvl w:ilvl="3" w:tentative="0">
      <w:start w:val="1"/>
      <w:numFmt w:val="decimal"/>
      <w:pStyle w:val="4"/>
      <w:suff w:val="space"/>
      <w:lvlText w:val="%2.%3.%4"/>
      <w:lvlJc w:val="left"/>
      <w:pPr>
        <w:ind w:left="0" w:leftChars="0" w:firstLine="0" w:firstLineChars="0"/>
      </w:pPr>
      <w:rPr>
        <w:rFonts w:hint="default"/>
      </w:rPr>
    </w:lvl>
    <w:lvl w:ilvl="4" w:tentative="0">
      <w:start w:val="1"/>
      <w:numFmt w:val="decimal"/>
      <w:suff w:val="nothing"/>
      <w:lvlText w:val="%2.%3.%4.%5"/>
      <w:lvlJc w:val="left"/>
      <w:pPr>
        <w:ind w:left="1008" w:hanging="1008"/>
      </w:pPr>
      <w:rPr>
        <w:rFonts w:hint="default" w:ascii="Times New Roman" w:hAnsi="Times New Roman" w:cs="Times New Roman"/>
      </w:rPr>
    </w:lvl>
    <w:lvl w:ilvl="5" w:tentative="0">
      <w:start w:val="1"/>
      <w:numFmt w:val="decimal"/>
      <w:lvlText w:val="%2.%3.%4.%5.%6."/>
      <w:lvlJc w:val="left"/>
      <w:pPr>
        <w:ind w:left="1151" w:hanging="1151"/>
      </w:pPr>
      <w:rPr>
        <w:rFonts w:hint="default"/>
      </w:rPr>
    </w:lvl>
    <w:lvl w:ilvl="6" w:tentative="0">
      <w:start w:val="1"/>
      <w:numFmt w:val="decimal"/>
      <w:lvlText w:val="%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evenAndOddHeaders w:val="1"/>
  <w:displayHorizontalDrawingGridEvery w:val="1"/>
  <w:displayVerticalDrawingGridEvery w:val="1"/>
  <w:noPunctuationKerning w:val="1"/>
  <w:hdrShapeDefaults>
    <o:shapelayout v:ext="edit">
      <o:idmap v:ext="edit" data="2"/>
    </o:shapelayout>
  </w:hdrShapeDefault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 w:name="KSO_WPS_MARK_KEY" w:val="b67a805c-fe67-41c6-8c22-3fdf1f574a46"/>
  </w:docVars>
  <w:rsids>
    <w:rsidRoot w:val="00000000"/>
    <w:rsid w:val="001113BD"/>
    <w:rsid w:val="001C10F9"/>
    <w:rsid w:val="00D5688F"/>
    <w:rsid w:val="00E6284A"/>
    <w:rsid w:val="013B4944"/>
    <w:rsid w:val="01A1163F"/>
    <w:rsid w:val="01DE11EE"/>
    <w:rsid w:val="021F7DC1"/>
    <w:rsid w:val="0270061D"/>
    <w:rsid w:val="02932CE3"/>
    <w:rsid w:val="02C85CF8"/>
    <w:rsid w:val="02E53D83"/>
    <w:rsid w:val="03521DBA"/>
    <w:rsid w:val="036208AE"/>
    <w:rsid w:val="03DE35EF"/>
    <w:rsid w:val="03EE29A1"/>
    <w:rsid w:val="03FC53D2"/>
    <w:rsid w:val="041B07A8"/>
    <w:rsid w:val="042B179D"/>
    <w:rsid w:val="044610B3"/>
    <w:rsid w:val="045E55E2"/>
    <w:rsid w:val="0469151A"/>
    <w:rsid w:val="04763EE5"/>
    <w:rsid w:val="04EB6970"/>
    <w:rsid w:val="056061E5"/>
    <w:rsid w:val="05FD666C"/>
    <w:rsid w:val="066B1E5D"/>
    <w:rsid w:val="067601CC"/>
    <w:rsid w:val="068D0369"/>
    <w:rsid w:val="06FD269B"/>
    <w:rsid w:val="07241C14"/>
    <w:rsid w:val="07703FA3"/>
    <w:rsid w:val="07B0770E"/>
    <w:rsid w:val="08031F33"/>
    <w:rsid w:val="08262AF7"/>
    <w:rsid w:val="08267178"/>
    <w:rsid w:val="08892439"/>
    <w:rsid w:val="08CF1E07"/>
    <w:rsid w:val="099A6A6F"/>
    <w:rsid w:val="0A40121D"/>
    <w:rsid w:val="0AB57F91"/>
    <w:rsid w:val="0B7A075E"/>
    <w:rsid w:val="0B8D0492"/>
    <w:rsid w:val="0BD53BE7"/>
    <w:rsid w:val="0BF903FB"/>
    <w:rsid w:val="0BFC5617"/>
    <w:rsid w:val="0C344DB1"/>
    <w:rsid w:val="0D7D0092"/>
    <w:rsid w:val="0DD762CB"/>
    <w:rsid w:val="0DEF4CD1"/>
    <w:rsid w:val="0E7A64ED"/>
    <w:rsid w:val="0E883192"/>
    <w:rsid w:val="0EA004DC"/>
    <w:rsid w:val="0EB21FBD"/>
    <w:rsid w:val="0F9022FF"/>
    <w:rsid w:val="105058CC"/>
    <w:rsid w:val="10857989"/>
    <w:rsid w:val="10C833AE"/>
    <w:rsid w:val="11934263"/>
    <w:rsid w:val="12A9164D"/>
    <w:rsid w:val="12CF313E"/>
    <w:rsid w:val="12F9465F"/>
    <w:rsid w:val="12FC2887"/>
    <w:rsid w:val="13623FB2"/>
    <w:rsid w:val="13F6294C"/>
    <w:rsid w:val="15737CA5"/>
    <w:rsid w:val="159D39C7"/>
    <w:rsid w:val="15D8055B"/>
    <w:rsid w:val="165A3666"/>
    <w:rsid w:val="16665830"/>
    <w:rsid w:val="16B03286"/>
    <w:rsid w:val="16B713C6"/>
    <w:rsid w:val="16C614AD"/>
    <w:rsid w:val="16D231FD"/>
    <w:rsid w:val="16DA0303"/>
    <w:rsid w:val="17062AA9"/>
    <w:rsid w:val="171F21BA"/>
    <w:rsid w:val="174A5489"/>
    <w:rsid w:val="1772678E"/>
    <w:rsid w:val="17834B87"/>
    <w:rsid w:val="178C784F"/>
    <w:rsid w:val="18332BD4"/>
    <w:rsid w:val="18893D8F"/>
    <w:rsid w:val="18D25736"/>
    <w:rsid w:val="18E13BCB"/>
    <w:rsid w:val="18EB67F8"/>
    <w:rsid w:val="18F25DD8"/>
    <w:rsid w:val="18F4130C"/>
    <w:rsid w:val="19687E48"/>
    <w:rsid w:val="1A5678E5"/>
    <w:rsid w:val="1A75281D"/>
    <w:rsid w:val="1AC437A4"/>
    <w:rsid w:val="1AF000F5"/>
    <w:rsid w:val="1BA3160C"/>
    <w:rsid w:val="1BBC7AA9"/>
    <w:rsid w:val="1BD96B9F"/>
    <w:rsid w:val="1BFB1448"/>
    <w:rsid w:val="1C2A7637"/>
    <w:rsid w:val="1C8D139A"/>
    <w:rsid w:val="1CAC44F0"/>
    <w:rsid w:val="1CC23616"/>
    <w:rsid w:val="1CEA7431"/>
    <w:rsid w:val="1D205502"/>
    <w:rsid w:val="1D7414B2"/>
    <w:rsid w:val="1DBA689F"/>
    <w:rsid w:val="1DD43CFE"/>
    <w:rsid w:val="1DDE692B"/>
    <w:rsid w:val="1DF37276"/>
    <w:rsid w:val="1DFC609F"/>
    <w:rsid w:val="1E0D0FBE"/>
    <w:rsid w:val="1E8F7FD1"/>
    <w:rsid w:val="1EB36877"/>
    <w:rsid w:val="1EF67CA4"/>
    <w:rsid w:val="1F3233D2"/>
    <w:rsid w:val="1F6317DE"/>
    <w:rsid w:val="1FCD4EA9"/>
    <w:rsid w:val="1FD224BF"/>
    <w:rsid w:val="20692E24"/>
    <w:rsid w:val="20BB1851"/>
    <w:rsid w:val="21483265"/>
    <w:rsid w:val="215D400B"/>
    <w:rsid w:val="21F20BF7"/>
    <w:rsid w:val="21F66939"/>
    <w:rsid w:val="21F731C3"/>
    <w:rsid w:val="22A55C69"/>
    <w:rsid w:val="22BB548D"/>
    <w:rsid w:val="236C6787"/>
    <w:rsid w:val="23DD1433"/>
    <w:rsid w:val="2479115B"/>
    <w:rsid w:val="2488458D"/>
    <w:rsid w:val="250D468A"/>
    <w:rsid w:val="253B473C"/>
    <w:rsid w:val="25520519"/>
    <w:rsid w:val="259D0E7A"/>
    <w:rsid w:val="25C603D0"/>
    <w:rsid w:val="263317DE"/>
    <w:rsid w:val="2694099E"/>
    <w:rsid w:val="26DF1F53"/>
    <w:rsid w:val="26EC0E6B"/>
    <w:rsid w:val="26FB22FC"/>
    <w:rsid w:val="274A5031"/>
    <w:rsid w:val="283F446A"/>
    <w:rsid w:val="28537F15"/>
    <w:rsid w:val="287C121A"/>
    <w:rsid w:val="28895EE5"/>
    <w:rsid w:val="28C77B6A"/>
    <w:rsid w:val="28E868B0"/>
    <w:rsid w:val="29094D4C"/>
    <w:rsid w:val="29455AB0"/>
    <w:rsid w:val="2973261D"/>
    <w:rsid w:val="298800E8"/>
    <w:rsid w:val="29EF5951"/>
    <w:rsid w:val="2A4B359A"/>
    <w:rsid w:val="2A8820F8"/>
    <w:rsid w:val="2ADE61BC"/>
    <w:rsid w:val="2B2B15E0"/>
    <w:rsid w:val="2B6761B2"/>
    <w:rsid w:val="2B6D7540"/>
    <w:rsid w:val="2B870602"/>
    <w:rsid w:val="2B9A3646"/>
    <w:rsid w:val="2C1D2D14"/>
    <w:rsid w:val="2C7E2881"/>
    <w:rsid w:val="2CEF46B1"/>
    <w:rsid w:val="2D3E2F42"/>
    <w:rsid w:val="2D410573"/>
    <w:rsid w:val="2D4542D1"/>
    <w:rsid w:val="2DE41D3C"/>
    <w:rsid w:val="2E50084D"/>
    <w:rsid w:val="2EB37960"/>
    <w:rsid w:val="2ED34029"/>
    <w:rsid w:val="2EE55C2D"/>
    <w:rsid w:val="2F1874E5"/>
    <w:rsid w:val="2F4659A4"/>
    <w:rsid w:val="2F51365C"/>
    <w:rsid w:val="302F1268"/>
    <w:rsid w:val="308C501C"/>
    <w:rsid w:val="3176265E"/>
    <w:rsid w:val="318555E4"/>
    <w:rsid w:val="31971FFA"/>
    <w:rsid w:val="31B00187"/>
    <w:rsid w:val="31D2634F"/>
    <w:rsid w:val="31DB78EE"/>
    <w:rsid w:val="32323B21"/>
    <w:rsid w:val="32384404"/>
    <w:rsid w:val="3253123E"/>
    <w:rsid w:val="326E06BF"/>
    <w:rsid w:val="32D00AE0"/>
    <w:rsid w:val="32EC35E0"/>
    <w:rsid w:val="330C763F"/>
    <w:rsid w:val="33BA52ED"/>
    <w:rsid w:val="33E0141C"/>
    <w:rsid w:val="341665F4"/>
    <w:rsid w:val="34367069"/>
    <w:rsid w:val="356E45E1"/>
    <w:rsid w:val="35795A58"/>
    <w:rsid w:val="35C91CF6"/>
    <w:rsid w:val="35CF41EE"/>
    <w:rsid w:val="36673351"/>
    <w:rsid w:val="366D6646"/>
    <w:rsid w:val="36A52284"/>
    <w:rsid w:val="374E1062"/>
    <w:rsid w:val="377203B8"/>
    <w:rsid w:val="37893954"/>
    <w:rsid w:val="38685317"/>
    <w:rsid w:val="3870241E"/>
    <w:rsid w:val="38D11464"/>
    <w:rsid w:val="391E1E7A"/>
    <w:rsid w:val="39447B32"/>
    <w:rsid w:val="394C6378"/>
    <w:rsid w:val="39707FF3"/>
    <w:rsid w:val="398D255E"/>
    <w:rsid w:val="39E43211"/>
    <w:rsid w:val="3A23599A"/>
    <w:rsid w:val="3A4F10FF"/>
    <w:rsid w:val="3A8F375B"/>
    <w:rsid w:val="3AAF547F"/>
    <w:rsid w:val="3AC23093"/>
    <w:rsid w:val="3AE2770B"/>
    <w:rsid w:val="3AE67294"/>
    <w:rsid w:val="3AF40409"/>
    <w:rsid w:val="3B0B4273"/>
    <w:rsid w:val="3BD21424"/>
    <w:rsid w:val="3BEF0414"/>
    <w:rsid w:val="3C187054"/>
    <w:rsid w:val="3C3A6FCB"/>
    <w:rsid w:val="3C881010"/>
    <w:rsid w:val="3CF87894"/>
    <w:rsid w:val="3D0273A6"/>
    <w:rsid w:val="3D3A1978"/>
    <w:rsid w:val="3DC77CA7"/>
    <w:rsid w:val="3DCE3E6E"/>
    <w:rsid w:val="3DF17B5D"/>
    <w:rsid w:val="3DFD4754"/>
    <w:rsid w:val="3E600D75"/>
    <w:rsid w:val="3E7F33BB"/>
    <w:rsid w:val="3EFA64C9"/>
    <w:rsid w:val="3F56160C"/>
    <w:rsid w:val="3F687999"/>
    <w:rsid w:val="3F7E3672"/>
    <w:rsid w:val="3FAC01DF"/>
    <w:rsid w:val="3FD0473F"/>
    <w:rsid w:val="401A783F"/>
    <w:rsid w:val="40264763"/>
    <w:rsid w:val="41032081"/>
    <w:rsid w:val="416B677A"/>
    <w:rsid w:val="41751D71"/>
    <w:rsid w:val="41A925B8"/>
    <w:rsid w:val="41E2613A"/>
    <w:rsid w:val="42426BD9"/>
    <w:rsid w:val="42725710"/>
    <w:rsid w:val="43081BD1"/>
    <w:rsid w:val="43305B42"/>
    <w:rsid w:val="43472D53"/>
    <w:rsid w:val="434B5F61"/>
    <w:rsid w:val="436A4639"/>
    <w:rsid w:val="43A87178"/>
    <w:rsid w:val="44184095"/>
    <w:rsid w:val="44F06223"/>
    <w:rsid w:val="45BE6EBE"/>
    <w:rsid w:val="45DC7381"/>
    <w:rsid w:val="463A4797"/>
    <w:rsid w:val="465A0995"/>
    <w:rsid w:val="4689127A"/>
    <w:rsid w:val="469D4D26"/>
    <w:rsid w:val="46DD15C6"/>
    <w:rsid w:val="46FE3A16"/>
    <w:rsid w:val="470152B5"/>
    <w:rsid w:val="47226FD9"/>
    <w:rsid w:val="47431429"/>
    <w:rsid w:val="476B0980"/>
    <w:rsid w:val="47783D80"/>
    <w:rsid w:val="477850F8"/>
    <w:rsid w:val="478A77A2"/>
    <w:rsid w:val="47CB40E6"/>
    <w:rsid w:val="481B23A6"/>
    <w:rsid w:val="49456BC8"/>
    <w:rsid w:val="4A4A262F"/>
    <w:rsid w:val="4A6E36E4"/>
    <w:rsid w:val="4B0B04B0"/>
    <w:rsid w:val="4B517E8D"/>
    <w:rsid w:val="4BA83F51"/>
    <w:rsid w:val="4BD55E03"/>
    <w:rsid w:val="4C47282F"/>
    <w:rsid w:val="4C911CAD"/>
    <w:rsid w:val="4D0C7EAB"/>
    <w:rsid w:val="4D293B4B"/>
    <w:rsid w:val="4D3E1079"/>
    <w:rsid w:val="4D7F6F33"/>
    <w:rsid w:val="4DB0533F"/>
    <w:rsid w:val="4DC82688"/>
    <w:rsid w:val="4E1456CD"/>
    <w:rsid w:val="4EBD51C5"/>
    <w:rsid w:val="4F507754"/>
    <w:rsid w:val="4F5D32A4"/>
    <w:rsid w:val="4F840831"/>
    <w:rsid w:val="4F876573"/>
    <w:rsid w:val="4FBC6872"/>
    <w:rsid w:val="4FF77255"/>
    <w:rsid w:val="50770396"/>
    <w:rsid w:val="5100515C"/>
    <w:rsid w:val="518C5467"/>
    <w:rsid w:val="51BD44CE"/>
    <w:rsid w:val="51FD2B1C"/>
    <w:rsid w:val="52150388"/>
    <w:rsid w:val="5225260A"/>
    <w:rsid w:val="5253098E"/>
    <w:rsid w:val="527E5A0B"/>
    <w:rsid w:val="52A939B0"/>
    <w:rsid w:val="52B16D04"/>
    <w:rsid w:val="52DE4A8E"/>
    <w:rsid w:val="531A4EF2"/>
    <w:rsid w:val="53437A58"/>
    <w:rsid w:val="536A41E2"/>
    <w:rsid w:val="53806594"/>
    <w:rsid w:val="53964FD7"/>
    <w:rsid w:val="53B43DB6"/>
    <w:rsid w:val="542425E2"/>
    <w:rsid w:val="545E3D46"/>
    <w:rsid w:val="54CC6443"/>
    <w:rsid w:val="54E35FFA"/>
    <w:rsid w:val="550B5550"/>
    <w:rsid w:val="559B0475"/>
    <w:rsid w:val="55A047B2"/>
    <w:rsid w:val="55AC043E"/>
    <w:rsid w:val="55C53951"/>
    <w:rsid w:val="55CF657E"/>
    <w:rsid w:val="55D02A22"/>
    <w:rsid w:val="564F1AE9"/>
    <w:rsid w:val="5655114C"/>
    <w:rsid w:val="56692432"/>
    <w:rsid w:val="567A4F69"/>
    <w:rsid w:val="56927CD7"/>
    <w:rsid w:val="56D740BB"/>
    <w:rsid w:val="571E1906"/>
    <w:rsid w:val="572648C3"/>
    <w:rsid w:val="57661F0E"/>
    <w:rsid w:val="577B12BB"/>
    <w:rsid w:val="57A3000D"/>
    <w:rsid w:val="57D03EA6"/>
    <w:rsid w:val="58093FC9"/>
    <w:rsid w:val="58112E7E"/>
    <w:rsid w:val="58535AED"/>
    <w:rsid w:val="591C4EE5"/>
    <w:rsid w:val="598B26B3"/>
    <w:rsid w:val="59C73A9D"/>
    <w:rsid w:val="59E85E60"/>
    <w:rsid w:val="5A0C5FF2"/>
    <w:rsid w:val="5A1667A4"/>
    <w:rsid w:val="5A6A4AC7"/>
    <w:rsid w:val="5A731BCE"/>
    <w:rsid w:val="5AF96577"/>
    <w:rsid w:val="5BB965CD"/>
    <w:rsid w:val="5BD91F04"/>
    <w:rsid w:val="5BF64864"/>
    <w:rsid w:val="5C337866"/>
    <w:rsid w:val="5CF05758"/>
    <w:rsid w:val="5D306C61"/>
    <w:rsid w:val="5D8B5480"/>
    <w:rsid w:val="5EA45F88"/>
    <w:rsid w:val="5EB97DCB"/>
    <w:rsid w:val="5ED12557"/>
    <w:rsid w:val="5F657910"/>
    <w:rsid w:val="5F6849E3"/>
    <w:rsid w:val="5FA32159"/>
    <w:rsid w:val="5FA8108B"/>
    <w:rsid w:val="5FCD7FD2"/>
    <w:rsid w:val="5FE134EE"/>
    <w:rsid w:val="5FF87563"/>
    <w:rsid w:val="604A1623"/>
    <w:rsid w:val="605129B1"/>
    <w:rsid w:val="60AC5E39"/>
    <w:rsid w:val="60DA29A7"/>
    <w:rsid w:val="60FF065F"/>
    <w:rsid w:val="615F10FE"/>
    <w:rsid w:val="616E1341"/>
    <w:rsid w:val="6189617B"/>
    <w:rsid w:val="61E433B1"/>
    <w:rsid w:val="623E6288"/>
    <w:rsid w:val="62500A46"/>
    <w:rsid w:val="628F156F"/>
    <w:rsid w:val="629358D4"/>
    <w:rsid w:val="62ED05AC"/>
    <w:rsid w:val="63360D48"/>
    <w:rsid w:val="637A5D7B"/>
    <w:rsid w:val="63FA6EBC"/>
    <w:rsid w:val="64281C7B"/>
    <w:rsid w:val="64CF10F5"/>
    <w:rsid w:val="656A1E1F"/>
    <w:rsid w:val="65A74E21"/>
    <w:rsid w:val="65CE3428"/>
    <w:rsid w:val="66137655"/>
    <w:rsid w:val="661F50E1"/>
    <w:rsid w:val="6635242D"/>
    <w:rsid w:val="66DE4873"/>
    <w:rsid w:val="671E2DBD"/>
    <w:rsid w:val="67EB1A60"/>
    <w:rsid w:val="680F5F56"/>
    <w:rsid w:val="681F061D"/>
    <w:rsid w:val="68213779"/>
    <w:rsid w:val="68633281"/>
    <w:rsid w:val="687B4EA7"/>
    <w:rsid w:val="689A0C6D"/>
    <w:rsid w:val="68A17B52"/>
    <w:rsid w:val="68BC0DCC"/>
    <w:rsid w:val="68BE426F"/>
    <w:rsid w:val="68DE2F22"/>
    <w:rsid w:val="69EB27D8"/>
    <w:rsid w:val="6A2147A0"/>
    <w:rsid w:val="6A251A34"/>
    <w:rsid w:val="6A33480D"/>
    <w:rsid w:val="6A3F1ACC"/>
    <w:rsid w:val="6A5C442C"/>
    <w:rsid w:val="6AEB0873"/>
    <w:rsid w:val="6BBE4C73"/>
    <w:rsid w:val="6BC40333"/>
    <w:rsid w:val="6BE444DE"/>
    <w:rsid w:val="6BF15048"/>
    <w:rsid w:val="6C007039"/>
    <w:rsid w:val="6C763D8B"/>
    <w:rsid w:val="6C8E2897"/>
    <w:rsid w:val="6CBF790B"/>
    <w:rsid w:val="6CDF30F3"/>
    <w:rsid w:val="6D002A36"/>
    <w:rsid w:val="6D146032"/>
    <w:rsid w:val="6D3E091B"/>
    <w:rsid w:val="6D800432"/>
    <w:rsid w:val="6D987ABB"/>
    <w:rsid w:val="6DA700B4"/>
    <w:rsid w:val="6DBC39AE"/>
    <w:rsid w:val="6DD662A4"/>
    <w:rsid w:val="6DEF55B7"/>
    <w:rsid w:val="6E0C6169"/>
    <w:rsid w:val="6E116061"/>
    <w:rsid w:val="6EDA0016"/>
    <w:rsid w:val="6EE40E94"/>
    <w:rsid w:val="6F9B7998"/>
    <w:rsid w:val="6FBE49C3"/>
    <w:rsid w:val="6FFE5F86"/>
    <w:rsid w:val="7019691C"/>
    <w:rsid w:val="70832FCB"/>
    <w:rsid w:val="710B1CFB"/>
    <w:rsid w:val="710E0399"/>
    <w:rsid w:val="716D5171"/>
    <w:rsid w:val="71D30AFF"/>
    <w:rsid w:val="71F17B50"/>
    <w:rsid w:val="73292B8B"/>
    <w:rsid w:val="7438473C"/>
    <w:rsid w:val="74624D35"/>
    <w:rsid w:val="74730CF0"/>
    <w:rsid w:val="747C53AA"/>
    <w:rsid w:val="74C973C0"/>
    <w:rsid w:val="74F11C15"/>
    <w:rsid w:val="75045DEC"/>
    <w:rsid w:val="750758DC"/>
    <w:rsid w:val="753F6E24"/>
    <w:rsid w:val="755D72AA"/>
    <w:rsid w:val="755F1275"/>
    <w:rsid w:val="75932CCC"/>
    <w:rsid w:val="75AD3D8E"/>
    <w:rsid w:val="75C15A8B"/>
    <w:rsid w:val="75DB58EC"/>
    <w:rsid w:val="76082B78"/>
    <w:rsid w:val="765C46C3"/>
    <w:rsid w:val="7662726E"/>
    <w:rsid w:val="76752701"/>
    <w:rsid w:val="770E3521"/>
    <w:rsid w:val="77102BA1"/>
    <w:rsid w:val="77207389"/>
    <w:rsid w:val="773F22FA"/>
    <w:rsid w:val="7746449A"/>
    <w:rsid w:val="7760394F"/>
    <w:rsid w:val="776F3C10"/>
    <w:rsid w:val="779571D0"/>
    <w:rsid w:val="77AD4519"/>
    <w:rsid w:val="78C7785D"/>
    <w:rsid w:val="790C1247"/>
    <w:rsid w:val="79102992"/>
    <w:rsid w:val="791C1DCE"/>
    <w:rsid w:val="7985694F"/>
    <w:rsid w:val="79863C7A"/>
    <w:rsid w:val="79B63281"/>
    <w:rsid w:val="79F37CFF"/>
    <w:rsid w:val="7A810EAF"/>
    <w:rsid w:val="7A94551C"/>
    <w:rsid w:val="7AA35350"/>
    <w:rsid w:val="7AA65250"/>
    <w:rsid w:val="7ABE6A3D"/>
    <w:rsid w:val="7B476A33"/>
    <w:rsid w:val="7B672C31"/>
    <w:rsid w:val="7B7D4202"/>
    <w:rsid w:val="7BE91898"/>
    <w:rsid w:val="7C29438A"/>
    <w:rsid w:val="7C4660B4"/>
    <w:rsid w:val="7C5807CC"/>
    <w:rsid w:val="7C910E4E"/>
    <w:rsid w:val="7CCD11BA"/>
    <w:rsid w:val="7D3A2273"/>
    <w:rsid w:val="7D4E22FA"/>
    <w:rsid w:val="7D7E4262"/>
    <w:rsid w:val="7D87697E"/>
    <w:rsid w:val="7DB06B11"/>
    <w:rsid w:val="7DD2083F"/>
    <w:rsid w:val="7DD32800"/>
    <w:rsid w:val="7E621964"/>
    <w:rsid w:val="7E6671D0"/>
    <w:rsid w:val="7EB10D93"/>
    <w:rsid w:val="7F10538E"/>
    <w:rsid w:val="7F3E014D"/>
    <w:rsid w:val="7F573F2E"/>
    <w:rsid w:val="7F6A2DA5"/>
    <w:rsid w:val="7F72043E"/>
    <w:rsid w:val="7F7B38A8"/>
    <w:rsid w:val="7F840077"/>
    <w:rsid w:val="7FB34FD7"/>
    <w:rsid w:val="7FD242A5"/>
    <w:rsid w:val="7FFB7DE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rPr>
  </w:style>
  <w:style w:type="paragraph" w:styleId="2">
    <w:name w:val="heading 2"/>
    <w:basedOn w:val="1"/>
    <w:next w:val="1"/>
    <w:unhideWhenUsed/>
    <w:qFormat/>
    <w:uiPriority w:val="0"/>
    <w:pPr>
      <w:keepNext/>
      <w:keepLines/>
      <w:numPr>
        <w:ilvl w:val="1"/>
        <w:numId w:val="1"/>
      </w:numPr>
      <w:spacing w:before="260" w:beforeLines="0" w:beforeAutospacing="0" w:afterLines="0" w:afterAutospacing="0" w:line="413" w:lineRule="auto"/>
      <w:ind w:left="575" w:hanging="575" w:firstLineChars="0"/>
      <w:outlineLvl w:val="1"/>
    </w:pPr>
    <w:rPr>
      <w:b/>
      <w:sz w:val="32"/>
    </w:rPr>
  </w:style>
  <w:style w:type="paragraph" w:styleId="3">
    <w:name w:val="heading 3"/>
    <w:basedOn w:val="1"/>
    <w:next w:val="1"/>
    <w:unhideWhenUsed/>
    <w:qFormat/>
    <w:uiPriority w:val="0"/>
    <w:pPr>
      <w:keepNext/>
      <w:keepLines/>
      <w:numPr>
        <w:ilvl w:val="2"/>
        <w:numId w:val="1"/>
      </w:numPr>
      <w:spacing w:beforeLines="0" w:beforeAutospacing="0" w:afterLines="0" w:afterAutospacing="0" w:line="360" w:lineRule="auto"/>
      <w:ind w:left="720" w:hanging="720" w:firstLineChars="0"/>
      <w:outlineLvl w:val="2"/>
    </w:pPr>
    <w:rPr>
      <w:rFonts w:ascii="Times New Roman" w:hAnsi="Times New Roman"/>
      <w:b/>
      <w:sz w:val="32"/>
    </w:rPr>
  </w:style>
  <w:style w:type="paragraph" w:styleId="4">
    <w:name w:val="heading 4"/>
    <w:basedOn w:val="1"/>
    <w:next w:val="1"/>
    <w:unhideWhenUsed/>
    <w:qFormat/>
    <w:uiPriority w:val="0"/>
    <w:pPr>
      <w:keepNext/>
      <w:keepLines/>
      <w:numPr>
        <w:ilvl w:val="3"/>
        <w:numId w:val="1"/>
      </w:numPr>
      <w:spacing w:beforeAutospacing="0" w:afterLines="0" w:afterAutospacing="0" w:line="360" w:lineRule="auto"/>
      <w:ind w:left="0" w:firstLine="0" w:firstLineChars="0"/>
      <w:outlineLvl w:val="3"/>
    </w:pPr>
  </w:style>
  <w:style w:type="paragraph" w:styleId="5">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6">
    <w:name w:val="caption"/>
    <w:basedOn w:val="1"/>
    <w:next w:val="1"/>
    <w:semiHidden/>
    <w:unhideWhenUsed/>
    <w:qFormat/>
    <w:uiPriority w:val="0"/>
    <w:rPr>
      <w:rFonts w:ascii="Arial" w:hAnsi="Arial" w:eastAsia="黑体"/>
      <w:sz w:val="20"/>
    </w:rPr>
  </w:style>
  <w:style w:type="paragraph" w:styleId="7">
    <w:name w:val="annotation text"/>
    <w:basedOn w:val="1"/>
    <w:qFormat/>
    <w:uiPriority w:val="0"/>
    <w:pPr>
      <w:jc w:val="left"/>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paragraph" w:customStyle="1" w:styleId="16">
    <w:name w:val="Table Text"/>
    <w:basedOn w:val="1"/>
    <w:semiHidden/>
    <w:qFormat/>
    <w:uiPriority w:val="0"/>
    <w:rPr>
      <w:rFonts w:ascii="宋体" w:hAnsi="宋体" w:eastAsia="宋体" w:cs="宋体"/>
      <w:sz w:val="18"/>
      <w:szCs w:val="1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sectNamePr val="封面"/>
    </customSectPr>
    <customSectPr>
      <sectNamePr val="空白页"/>
    </customSectPr>
    <customSectPr>
      <sectNamePr val="目录 前言"/>
    </customSectPr>
    <customSectPr>
      <sectNamePr val="附录"/>
    </customSectPr>
    <customSectPr>
      <sectNamePr val="附录"/>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5617</Words>
  <Characters>6573</Characters>
  <Lines>4</Lines>
  <Paragraphs>1</Paragraphs>
  <TotalTime>12</TotalTime>
  <ScaleCrop>false</ScaleCrop>
  <LinksUpToDate>false</LinksUpToDate>
  <CharactersWithSpaces>6846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2023-05-29T06:26:00Z</dcterms:created>
  <dc:creator>13401</dc:creator>
  <cp:lastModifiedBy>企业用户_288166916</cp:lastModifiedBy>
  <dcterms:modified xsi:type="dcterms:W3CDTF">2025-05-25T06:29:30Z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B7103F6BDC2E401A8FA7712B8F440278_13</vt:lpwstr>
  </property>
  <property fmtid="{D5CDD505-2E9C-101B-9397-08002B2CF9AE}" pid="4" name="KSOTemplateDocerSaveRecord">
    <vt:lpwstr>eyJoZGlkIjoiYzczYTMwMjI4MWJiNGFlOTIyMDYxMTczZDU1OWJmMjYiLCJ1c2VySWQiOiIxNjEyNzg5MjQxIn0=</vt:lpwstr>
  </property>
</Properties>
</file>